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BEE669" w14:textId="77777777" w:rsidR="004B5F1B" w:rsidRDefault="004B5F1B" w:rsidP="004B5F1B"/>
    <w:p w14:paraId="329A118D" w14:textId="5BA7E3ED" w:rsidR="004B5F1B" w:rsidRDefault="000C5028" w:rsidP="004B5F1B">
      <w:pPr>
        <w:spacing w:after="300" w:line="276" w:lineRule="auto"/>
      </w:pPr>
      <w:r w:rsidRPr="000C5028">
        <w:rPr>
          <w:rFonts w:ascii="Palatino Linotype" w:eastAsia="Palatino Linotype" w:hAnsi="Palatino Linotype" w:cs="Palatino Linotype"/>
          <w:b/>
          <w:bCs/>
          <w:color w:val="000000"/>
          <w:sz w:val="28"/>
          <w:szCs w:val="28"/>
        </w:rPr>
        <w:t>The Think-Pair-Share Model on Correlation Analysis: An Analysis of Student Learning Outcomes Improvement</w:t>
      </w:r>
    </w:p>
    <w:p w14:paraId="5BA02C08" w14:textId="2E122A6B" w:rsidR="004B5F1B" w:rsidRPr="009309E1" w:rsidRDefault="009309E1" w:rsidP="004B5F1B">
      <w:pPr>
        <w:spacing w:after="80" w:line="276" w:lineRule="auto"/>
      </w:pPr>
      <w:r w:rsidRPr="009309E1">
        <w:rPr>
          <w:rFonts w:ascii="Palatino Linotype" w:eastAsia="Palatino Linotype" w:hAnsi="Palatino Linotype" w:cs="Palatino Linotype"/>
          <w:b/>
          <w:bCs/>
          <w:color w:val="000000"/>
          <w:sz w:val="24"/>
          <w:szCs w:val="24"/>
        </w:rPr>
        <w:t xml:space="preserve">Nabila </w:t>
      </w:r>
      <w:proofErr w:type="spellStart"/>
      <w:r w:rsidRPr="009309E1">
        <w:rPr>
          <w:rFonts w:ascii="Palatino Linotype" w:eastAsia="Palatino Linotype" w:hAnsi="Palatino Linotype" w:cs="Palatino Linotype"/>
          <w:b/>
          <w:bCs/>
          <w:color w:val="000000"/>
          <w:sz w:val="24"/>
          <w:szCs w:val="24"/>
        </w:rPr>
        <w:t>Zulfa</w:t>
      </w:r>
      <w:proofErr w:type="spellEnd"/>
      <w:r w:rsidRPr="009309E1">
        <w:rPr>
          <w:rFonts w:ascii="Palatino Linotype" w:eastAsia="Palatino Linotype" w:hAnsi="Palatino Linotype" w:cs="Palatino Linotype"/>
          <w:b/>
          <w:bCs/>
          <w:color w:val="000000"/>
          <w:sz w:val="24"/>
          <w:szCs w:val="24"/>
        </w:rPr>
        <w:t xml:space="preserve"> Rahmawati</w:t>
      </w:r>
      <w:r w:rsidR="004B5F1B">
        <w:rPr>
          <w:rFonts w:ascii="Palatino Linotype" w:eastAsia="Palatino Linotype" w:hAnsi="Palatino Linotype" w:cs="Palatino Linotype"/>
          <w:b/>
          <w:bCs/>
          <w:sz w:val="16"/>
          <w:szCs w:val="16"/>
          <w:vertAlign w:val="superscript"/>
        </w:rPr>
        <w:t>1</w:t>
      </w:r>
      <w:r w:rsidR="004B5F1B">
        <w:rPr>
          <w:rFonts w:ascii="Palatino Linotype" w:eastAsia="Palatino Linotype" w:hAnsi="Palatino Linotype" w:cs="Palatino Linotype"/>
          <w:b/>
          <w:bCs/>
          <w:color w:val="000000"/>
          <w:sz w:val="24"/>
          <w:szCs w:val="24"/>
        </w:rPr>
        <w:t xml:space="preserve">, </w:t>
      </w:r>
      <w:proofErr w:type="spellStart"/>
      <w:r w:rsidRPr="009309E1">
        <w:rPr>
          <w:rFonts w:ascii="Palatino Linotype" w:eastAsia="Palatino Linotype" w:hAnsi="Palatino Linotype" w:cs="Palatino Linotype"/>
          <w:b/>
          <w:bCs/>
          <w:color w:val="000000"/>
          <w:sz w:val="24"/>
          <w:szCs w:val="24"/>
        </w:rPr>
        <w:t>Erfan</w:t>
      </w:r>
      <w:proofErr w:type="spellEnd"/>
      <w:r w:rsidRPr="009309E1">
        <w:rPr>
          <w:rFonts w:ascii="Palatino Linotype" w:eastAsia="Palatino Linotype" w:hAnsi="Palatino Linotype" w:cs="Palatino Linotype"/>
          <w:b/>
          <w:bCs/>
          <w:color w:val="000000"/>
          <w:sz w:val="24"/>
          <w:szCs w:val="24"/>
        </w:rPr>
        <w:t xml:space="preserve"> Yudianto</w:t>
      </w:r>
      <w:r w:rsidR="004B5F1B">
        <w:rPr>
          <w:rFonts w:ascii="Palatino Linotype" w:eastAsia="Palatino Linotype" w:hAnsi="Palatino Linotype" w:cs="Palatino Linotype"/>
          <w:b/>
          <w:bCs/>
          <w:sz w:val="16"/>
          <w:szCs w:val="16"/>
          <w:vertAlign w:val="superscript"/>
        </w:rPr>
        <w:t>2</w:t>
      </w:r>
      <w:r w:rsidR="004B5F1B">
        <w:rPr>
          <w:rFonts w:ascii="Palatino Linotype" w:eastAsia="Palatino Linotype" w:hAnsi="Palatino Linotype" w:cs="Palatino Linotype"/>
          <w:b/>
          <w:bCs/>
          <w:color w:val="000000"/>
          <w:sz w:val="24"/>
          <w:szCs w:val="24"/>
        </w:rPr>
        <w:t xml:space="preserve">, </w:t>
      </w:r>
      <w:proofErr w:type="spellStart"/>
      <w:r w:rsidRPr="009309E1">
        <w:rPr>
          <w:rFonts w:ascii="Palatino Linotype" w:eastAsia="Palatino Linotype" w:hAnsi="Palatino Linotype" w:cs="Palatino Linotype"/>
          <w:b/>
          <w:bCs/>
          <w:color w:val="000000"/>
          <w:sz w:val="24"/>
          <w:szCs w:val="24"/>
        </w:rPr>
        <w:t>Sasqia</w:t>
      </w:r>
      <w:proofErr w:type="spellEnd"/>
      <w:r w:rsidRPr="009309E1">
        <w:rPr>
          <w:rFonts w:ascii="Palatino Linotype" w:eastAsia="Palatino Linotype" w:hAnsi="Palatino Linotype" w:cs="Palatino Linotype"/>
          <w:b/>
          <w:bCs/>
          <w:color w:val="000000"/>
          <w:sz w:val="24"/>
          <w:szCs w:val="24"/>
        </w:rPr>
        <w:t xml:space="preserve"> </w:t>
      </w:r>
      <w:proofErr w:type="spellStart"/>
      <w:r w:rsidRPr="009309E1">
        <w:rPr>
          <w:rFonts w:ascii="Palatino Linotype" w:eastAsia="Palatino Linotype" w:hAnsi="Palatino Linotype" w:cs="Palatino Linotype"/>
          <w:b/>
          <w:bCs/>
          <w:color w:val="000000"/>
          <w:sz w:val="24"/>
          <w:szCs w:val="24"/>
        </w:rPr>
        <w:t>Ulimaz</w:t>
      </w:r>
      <w:proofErr w:type="spellEnd"/>
      <w:r w:rsidRPr="009309E1">
        <w:rPr>
          <w:rFonts w:ascii="Palatino Linotype" w:eastAsia="Palatino Linotype" w:hAnsi="Palatino Linotype" w:cs="Palatino Linotype"/>
          <w:b/>
          <w:bCs/>
          <w:color w:val="000000"/>
          <w:sz w:val="24"/>
          <w:szCs w:val="24"/>
        </w:rPr>
        <w:t xml:space="preserve"> </w:t>
      </w:r>
      <w:proofErr w:type="spellStart"/>
      <w:r w:rsidRPr="009309E1">
        <w:rPr>
          <w:rFonts w:ascii="Palatino Linotype" w:eastAsia="Palatino Linotype" w:hAnsi="Palatino Linotype" w:cs="Palatino Linotype"/>
          <w:b/>
          <w:bCs/>
          <w:color w:val="000000"/>
          <w:sz w:val="24"/>
          <w:szCs w:val="24"/>
        </w:rPr>
        <w:t>Maghfiroh</w:t>
      </w:r>
      <w:proofErr w:type="spellEnd"/>
      <w:r>
        <w:rPr>
          <w:rFonts w:ascii="Palatino Linotype" w:eastAsia="Palatino Linotype" w:hAnsi="Palatino Linotype" w:cs="Palatino Linotype"/>
          <w:b/>
          <w:bCs/>
          <w:color w:val="000000"/>
          <w:sz w:val="24"/>
          <w:szCs w:val="24"/>
        </w:rPr>
        <w:t>*</w:t>
      </w:r>
      <w:r w:rsidR="004B5F1B">
        <w:rPr>
          <w:rFonts w:ascii="Palatino Linotype" w:eastAsia="Palatino Linotype" w:hAnsi="Palatino Linotype" w:cs="Palatino Linotype"/>
          <w:b/>
          <w:bCs/>
          <w:sz w:val="16"/>
          <w:szCs w:val="16"/>
          <w:vertAlign w:val="superscript"/>
        </w:rPr>
        <w:t>3</w:t>
      </w:r>
      <w:r>
        <w:rPr>
          <w:rFonts w:ascii="Palatino Linotype" w:eastAsia="Palatino Linotype" w:hAnsi="Palatino Linotype" w:cs="Palatino Linotype"/>
          <w:b/>
          <w:bCs/>
          <w:sz w:val="16"/>
          <w:szCs w:val="16"/>
        </w:rPr>
        <w:t xml:space="preserve">, </w:t>
      </w:r>
      <w:proofErr w:type="spellStart"/>
      <w:r w:rsidRPr="009309E1">
        <w:rPr>
          <w:rFonts w:ascii="Palatino Linotype" w:eastAsia="Palatino Linotype" w:hAnsi="Palatino Linotype" w:cs="Palatino Linotype"/>
          <w:b/>
          <w:bCs/>
          <w:color w:val="000000"/>
          <w:sz w:val="24"/>
          <w:szCs w:val="24"/>
        </w:rPr>
        <w:t>Eko</w:t>
      </w:r>
      <w:proofErr w:type="spellEnd"/>
      <w:r w:rsidRPr="009309E1">
        <w:rPr>
          <w:rFonts w:ascii="Palatino Linotype" w:eastAsia="Palatino Linotype" w:hAnsi="Palatino Linotype" w:cs="Palatino Linotype"/>
          <w:b/>
          <w:bCs/>
          <w:color w:val="000000"/>
          <w:sz w:val="24"/>
          <w:szCs w:val="24"/>
        </w:rPr>
        <w:t xml:space="preserve"> </w:t>
      </w:r>
      <w:proofErr w:type="spellStart"/>
      <w:r w:rsidRPr="009309E1">
        <w:rPr>
          <w:rFonts w:ascii="Palatino Linotype" w:eastAsia="Palatino Linotype" w:hAnsi="Palatino Linotype" w:cs="Palatino Linotype"/>
          <w:b/>
          <w:bCs/>
          <w:color w:val="000000"/>
          <w:sz w:val="24"/>
          <w:szCs w:val="24"/>
        </w:rPr>
        <w:t>Yudi</w:t>
      </w:r>
      <w:proofErr w:type="spellEnd"/>
      <w:r w:rsidRPr="009309E1">
        <w:rPr>
          <w:rFonts w:ascii="Palatino Linotype" w:eastAsia="Palatino Linotype" w:hAnsi="Palatino Linotype" w:cs="Palatino Linotype"/>
          <w:b/>
          <w:bCs/>
          <w:color w:val="000000"/>
          <w:sz w:val="24"/>
          <w:szCs w:val="24"/>
        </w:rPr>
        <w:t xml:space="preserve"> Febriyanto</w:t>
      </w:r>
      <w:r>
        <w:rPr>
          <w:rFonts w:ascii="Palatino Linotype" w:eastAsia="Palatino Linotype" w:hAnsi="Palatino Linotype" w:cs="Palatino Linotype"/>
          <w:b/>
          <w:bCs/>
          <w:sz w:val="16"/>
          <w:szCs w:val="16"/>
          <w:vertAlign w:val="superscript"/>
        </w:rPr>
        <w:t>4</w:t>
      </w:r>
    </w:p>
    <w:p w14:paraId="53042EF3" w14:textId="77777777" w:rsidR="009309E1" w:rsidRDefault="009309E1" w:rsidP="009309E1">
      <w:pPr>
        <w:spacing w:line="276"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sz w:val="16"/>
          <w:szCs w:val="16"/>
          <w:vertAlign w:val="superscript"/>
        </w:rPr>
        <w:t>1</w:t>
      </w:r>
      <w:r w:rsidRPr="005E3B30">
        <w:rPr>
          <w:rFonts w:ascii="Palatino Linotype" w:eastAsia="Palatino Linotype" w:hAnsi="Palatino Linotype" w:cs="Palatino Linotype"/>
          <w:color w:val="000000"/>
          <w:sz w:val="24"/>
          <w:szCs w:val="24"/>
        </w:rPr>
        <w:t xml:space="preserve">Universitas </w:t>
      </w:r>
      <w:proofErr w:type="spellStart"/>
      <w:r w:rsidRPr="005E3B30">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Indonesia, nabilazulfar10@gmail.com</w:t>
      </w:r>
    </w:p>
    <w:p w14:paraId="6289FE89" w14:textId="77777777" w:rsidR="009309E1" w:rsidRDefault="009309E1" w:rsidP="009309E1">
      <w:pPr>
        <w:spacing w:line="276" w:lineRule="auto"/>
        <w:jc w:val="both"/>
      </w:pPr>
      <w:r>
        <w:rPr>
          <w:rFonts w:ascii="Palatino Linotype" w:eastAsia="Palatino Linotype" w:hAnsi="Palatino Linotype" w:cs="Palatino Linotype"/>
          <w:sz w:val="16"/>
          <w:szCs w:val="16"/>
          <w:vertAlign w:val="superscript"/>
        </w:rPr>
        <w:t>2</w:t>
      </w:r>
      <w:r w:rsidRPr="005E3B30">
        <w:rPr>
          <w:rFonts w:ascii="Palatino Linotype" w:eastAsia="Palatino Linotype" w:hAnsi="Palatino Linotype" w:cs="Palatino Linotype"/>
          <w:color w:val="000000"/>
          <w:sz w:val="24"/>
          <w:szCs w:val="24"/>
        </w:rPr>
        <w:t xml:space="preserve">Universitas </w:t>
      </w:r>
      <w:proofErr w:type="spellStart"/>
      <w:r w:rsidRPr="005E3B30">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Indonesia, erfanyudi@unej.ac.id</w:t>
      </w:r>
    </w:p>
    <w:p w14:paraId="62F6BAF0" w14:textId="77777777" w:rsidR="009309E1" w:rsidRDefault="009309E1" w:rsidP="009309E1">
      <w:pPr>
        <w:spacing w:line="276" w:lineRule="auto"/>
        <w:jc w:val="both"/>
      </w:pPr>
      <w:r>
        <w:rPr>
          <w:rFonts w:ascii="Palatino Linotype" w:eastAsia="Palatino Linotype" w:hAnsi="Palatino Linotype" w:cs="Palatino Linotype"/>
          <w:sz w:val="16"/>
          <w:szCs w:val="16"/>
          <w:vertAlign w:val="superscript"/>
        </w:rPr>
        <w:t>3*</w:t>
      </w:r>
      <w:r w:rsidRPr="005E3B30">
        <w:rPr>
          <w:rFonts w:ascii="Palatino Linotype" w:eastAsia="Palatino Linotype" w:hAnsi="Palatino Linotype" w:cs="Palatino Linotype"/>
          <w:color w:val="000000"/>
          <w:sz w:val="24"/>
          <w:szCs w:val="24"/>
        </w:rPr>
        <w:t xml:space="preserve">Universitas </w:t>
      </w:r>
      <w:proofErr w:type="spellStart"/>
      <w:r w:rsidRPr="005E3B30">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Indonesia, ulimazsasqia@gmail.com</w:t>
      </w:r>
    </w:p>
    <w:p w14:paraId="33971EA9" w14:textId="2D0DCE55" w:rsidR="004B5F1B" w:rsidRDefault="009309E1" w:rsidP="009309E1">
      <w:pPr>
        <w:spacing w:after="40" w:line="276" w:lineRule="auto"/>
        <w:rPr>
          <w:rFonts w:ascii="Palatino Linotype" w:eastAsia="Palatino Linotype" w:hAnsi="Palatino Linotype" w:cs="Palatino Linotype"/>
          <w:sz w:val="16"/>
          <w:szCs w:val="16"/>
          <w:vertAlign w:val="superscript"/>
        </w:rPr>
      </w:pPr>
      <w:r>
        <w:rPr>
          <w:rFonts w:ascii="Palatino Linotype" w:eastAsia="Palatino Linotype" w:hAnsi="Palatino Linotype" w:cs="Palatino Linotype"/>
          <w:sz w:val="16"/>
          <w:szCs w:val="16"/>
          <w:vertAlign w:val="superscript"/>
        </w:rPr>
        <w:t>4</w:t>
      </w:r>
      <w:r w:rsidRPr="005E3B30">
        <w:rPr>
          <w:rFonts w:ascii="Palatino Linotype" w:eastAsia="Palatino Linotype" w:hAnsi="Palatino Linotype" w:cs="Palatino Linotype"/>
          <w:color w:val="000000"/>
          <w:sz w:val="24"/>
          <w:szCs w:val="24"/>
        </w:rPr>
        <w:t xml:space="preserve">Universitas </w:t>
      </w:r>
      <w:proofErr w:type="spellStart"/>
      <w:r w:rsidRPr="005E3B30">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Jember</w:t>
      </w:r>
      <w:proofErr w:type="spellEnd"/>
      <w:r>
        <w:rPr>
          <w:rFonts w:ascii="Palatino Linotype" w:eastAsia="Palatino Linotype" w:hAnsi="Palatino Linotype" w:cs="Palatino Linotype"/>
          <w:color w:val="000000"/>
          <w:sz w:val="24"/>
          <w:szCs w:val="24"/>
        </w:rPr>
        <w:t>, Indonesia, ekoyudifebriyanto123@gmail.com</w:t>
      </w:r>
      <w:r>
        <w:rPr>
          <w:rFonts w:ascii="Palatino Linotype" w:eastAsia="Palatino Linotype" w:hAnsi="Palatino Linotype" w:cs="Palatino Linotype"/>
          <w:sz w:val="16"/>
          <w:szCs w:val="16"/>
          <w:vertAlign w:val="superscript"/>
        </w:rPr>
        <w:t xml:space="preserve"> </w:t>
      </w:r>
    </w:p>
    <w:p w14:paraId="05B1575E" w14:textId="77777777" w:rsidR="009309E1" w:rsidRDefault="009309E1" w:rsidP="009309E1">
      <w:pPr>
        <w:spacing w:after="40" w:line="276" w:lineRule="auto"/>
      </w:pPr>
    </w:p>
    <w:p w14:paraId="47800A51" w14:textId="5230B76B" w:rsidR="004B5F1B" w:rsidRDefault="004B5F1B" w:rsidP="004B5F1B">
      <w:pPr>
        <w:spacing w:after="20" w:line="276" w:lineRule="auto"/>
      </w:pPr>
      <w:r>
        <w:rPr>
          <w:rFonts w:ascii="Palatino Linotype" w:eastAsia="Palatino Linotype" w:hAnsi="Palatino Linotype" w:cs="Palatino Linotype"/>
          <w:color w:val="000000"/>
          <w:sz w:val="24"/>
          <w:szCs w:val="24"/>
        </w:rPr>
        <w:t>Received: 2026-May-10</w:t>
      </w:r>
      <w:r>
        <w:rPr>
          <w:rFonts w:ascii="Palatino Linotype" w:eastAsia="Palatino Linotype" w:hAnsi="Palatino Linotype" w:cs="Palatino Linotype"/>
          <w:color w:val="808080"/>
          <w:sz w:val="16"/>
          <w:szCs w:val="16"/>
        </w:rPr>
        <w:t xml:space="preserve"> </w:t>
      </w:r>
    </w:p>
    <w:p w14:paraId="1618A5DD" w14:textId="77777777" w:rsidR="004B5F1B" w:rsidRDefault="004B5F1B" w:rsidP="004B5F1B">
      <w:pPr>
        <w:spacing w:after="20" w:line="276" w:lineRule="auto"/>
      </w:pPr>
      <w:r>
        <w:rPr>
          <w:rFonts w:ascii="Palatino Linotype" w:eastAsia="Palatino Linotype" w:hAnsi="Palatino Linotype" w:cs="Palatino Linotype"/>
          <w:color w:val="000000"/>
          <w:sz w:val="24"/>
          <w:szCs w:val="24"/>
        </w:rPr>
        <w:t xml:space="preserve">Rev. </w:t>
      </w:r>
      <w:proofErr w:type="spellStart"/>
      <w:r>
        <w:rPr>
          <w:rFonts w:ascii="Palatino Linotype" w:eastAsia="Palatino Linotype" w:hAnsi="Palatino Linotype" w:cs="Palatino Linotype"/>
          <w:color w:val="000000"/>
          <w:sz w:val="24"/>
          <w:szCs w:val="24"/>
        </w:rPr>
        <w:t>Req</w:t>
      </w:r>
      <w:proofErr w:type="spellEnd"/>
      <w:r>
        <w:rPr>
          <w:rFonts w:ascii="Palatino Linotype" w:eastAsia="Palatino Linotype" w:hAnsi="Palatino Linotype" w:cs="Palatino Linotype"/>
          <w:color w:val="000000"/>
          <w:sz w:val="24"/>
          <w:szCs w:val="24"/>
        </w:rPr>
        <w:t>: 2026-May-29</w:t>
      </w:r>
    </w:p>
    <w:p w14:paraId="4A9FB9FE" w14:textId="77777777" w:rsidR="004B5F1B" w:rsidRDefault="004B5F1B" w:rsidP="004B5F1B">
      <w:pPr>
        <w:spacing w:after="260" w:line="276" w:lineRule="auto"/>
      </w:pPr>
      <w:r>
        <w:rPr>
          <w:rFonts w:ascii="Palatino Linotype" w:eastAsia="Palatino Linotype" w:hAnsi="Palatino Linotype" w:cs="Palatino Linotype"/>
          <w:color w:val="000000"/>
          <w:sz w:val="24"/>
          <w:szCs w:val="24"/>
        </w:rPr>
        <w:t>Accepted: 2026-June-22</w:t>
      </w:r>
    </w:p>
    <w:p w14:paraId="6CAF33A4" w14:textId="09E6C1DE" w:rsidR="004B5F1B" w:rsidRDefault="004B5F1B" w:rsidP="004B5F1B">
      <w:pPr>
        <w:spacing w:after="60"/>
        <w:jc w:val="both"/>
      </w:pPr>
      <w:r>
        <w:rPr>
          <w:rFonts w:ascii="Palatino Linotype" w:eastAsia="Palatino Linotype" w:hAnsi="Palatino Linotype" w:cs="Palatino Linotype"/>
          <w:color w:val="000000"/>
          <w:sz w:val="24"/>
          <w:szCs w:val="24"/>
        </w:rPr>
        <w:t xml:space="preserve">ABSTRACT: </w:t>
      </w:r>
      <w:r w:rsidR="000C5028" w:rsidRPr="000C5028">
        <w:rPr>
          <w:rFonts w:ascii="Palatino Linotype" w:eastAsia="Palatino Linotype" w:hAnsi="Palatino Linotype" w:cs="Palatino Linotype"/>
          <w:i/>
          <w:iCs/>
          <w:color w:val="000000"/>
          <w:sz w:val="24"/>
          <w:szCs w:val="24"/>
        </w:rPr>
        <w:t xml:space="preserve">This study aims to </w:t>
      </w:r>
      <w:proofErr w:type="spellStart"/>
      <w:r w:rsidR="000C5028" w:rsidRPr="000C5028">
        <w:rPr>
          <w:rFonts w:ascii="Palatino Linotype" w:eastAsia="Palatino Linotype" w:hAnsi="Palatino Linotype" w:cs="Palatino Linotype"/>
          <w:i/>
          <w:iCs/>
          <w:color w:val="000000"/>
          <w:sz w:val="24"/>
          <w:szCs w:val="24"/>
        </w:rPr>
        <w:t>analyze</w:t>
      </w:r>
      <w:proofErr w:type="spellEnd"/>
      <w:r w:rsidR="000C5028" w:rsidRPr="000C5028">
        <w:rPr>
          <w:rFonts w:ascii="Palatino Linotype" w:eastAsia="Palatino Linotype" w:hAnsi="Palatino Linotype" w:cs="Palatino Linotype"/>
          <w:i/>
          <w:iCs/>
          <w:color w:val="000000"/>
          <w:sz w:val="24"/>
          <w:szCs w:val="24"/>
        </w:rPr>
        <w:t xml:space="preserve"> the effectiveness of the Think Pair Share (TPS) learning model in improving student learning outcomes and participation. The method used is quantitative research with a pretest-</w:t>
      </w:r>
      <w:proofErr w:type="spellStart"/>
      <w:r w:rsidR="000C5028" w:rsidRPr="000C5028">
        <w:rPr>
          <w:rFonts w:ascii="Palatino Linotype" w:eastAsia="Palatino Linotype" w:hAnsi="Palatino Linotype" w:cs="Palatino Linotype"/>
          <w:i/>
          <w:iCs/>
          <w:color w:val="000000"/>
          <w:sz w:val="24"/>
          <w:szCs w:val="24"/>
        </w:rPr>
        <w:t>posttest</w:t>
      </w:r>
      <w:proofErr w:type="spellEnd"/>
      <w:r w:rsidR="000C5028" w:rsidRPr="000C5028">
        <w:rPr>
          <w:rFonts w:ascii="Palatino Linotype" w:eastAsia="Palatino Linotype" w:hAnsi="Palatino Linotype" w:cs="Palatino Linotype"/>
          <w:i/>
          <w:iCs/>
          <w:color w:val="000000"/>
          <w:sz w:val="24"/>
          <w:szCs w:val="24"/>
        </w:rPr>
        <w:t xml:space="preserve"> design. The research subjects consisted of students who participated in learning with the TPS model, while the instruments used included learning outcome tests and student activity observation sheets. The results of the study showed that the application of the TPS model was able to significantly improve student learning outcomes, which was shown by the increase in average scores and the acquisition of N-Gain in the medium to high category. In addition, student participation in the learning process has also increased, especially in discussion and opinion delivery activities. However, there is a variation in improved learning outcomes between students, which shows that not all students experience an equal improvement. The conclusion of this study is that the Think Pair Share learning model is effective in improving student learning outcomes and participation, and can be used as an alternative innovative learning strategy to create more active and collaborative learning.</w:t>
      </w:r>
      <w:r>
        <w:rPr>
          <w:rFonts w:ascii="Palatino Linotype" w:eastAsia="Palatino Linotype" w:hAnsi="Palatino Linotype" w:cs="Palatino Linotype"/>
          <w:i/>
          <w:iCs/>
          <w:color w:val="000000"/>
          <w:sz w:val="24"/>
          <w:szCs w:val="24"/>
        </w:rPr>
        <w:t xml:space="preserve"> </w:t>
      </w:r>
    </w:p>
    <w:p w14:paraId="185D09C6" w14:textId="466A134A" w:rsidR="004B5F1B" w:rsidRDefault="00C74E47" w:rsidP="004B5F1B">
      <w:pPr>
        <w:spacing w:after="260"/>
        <w:jc w:val="both"/>
      </w:pPr>
      <w:proofErr w:type="spellStart"/>
      <w:r w:rsidRPr="00C74E47">
        <w:rPr>
          <w:rFonts w:ascii="Palatino Linotype" w:eastAsia="Palatino Linotype" w:hAnsi="Palatino Linotype" w:cs="Palatino Linotype"/>
          <w:color w:val="808080"/>
          <w:sz w:val="24"/>
          <w:szCs w:val="24"/>
        </w:rPr>
        <w:t>Penelitian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ini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bertujuan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untuk</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menganalisis</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efektivitas</w:t>
      </w:r>
      <w:proofErr w:type="spellEnd"/>
      <w:r w:rsidRPr="00C74E47">
        <w:rPr>
          <w:rFonts w:ascii="Palatino Linotype" w:eastAsia="Palatino Linotype" w:hAnsi="Palatino Linotype" w:cs="Palatino Linotype"/>
          <w:color w:val="808080"/>
          <w:sz w:val="24"/>
          <w:szCs w:val="24"/>
        </w:rPr>
        <w:t xml:space="preserve"> model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Think Pair Share (TPS) </w:t>
      </w:r>
      <w:proofErr w:type="spellStart"/>
      <w:r w:rsidRPr="00C74E47">
        <w:rPr>
          <w:rFonts w:ascii="Palatino Linotype" w:eastAsia="Palatino Linotype" w:hAnsi="Palatino Linotype" w:cs="Palatino Linotype"/>
          <w:color w:val="808080"/>
          <w:sz w:val="24"/>
          <w:szCs w:val="24"/>
        </w:rPr>
        <w:t>dalam</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meningkatkan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hasil</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belajar</w:t>
      </w:r>
      <w:proofErr w:type="spellEnd"/>
      <w:r w:rsidRPr="00C74E47">
        <w:rPr>
          <w:rFonts w:ascii="Palatino Linotype" w:eastAsia="Palatino Linotype" w:hAnsi="Palatino Linotype" w:cs="Palatino Linotype"/>
          <w:color w:val="808080"/>
          <w:sz w:val="24"/>
          <w:szCs w:val="24"/>
        </w:rPr>
        <w:t xml:space="preserve"> dan </w:t>
      </w:r>
      <w:proofErr w:type="spellStart"/>
      <w:r w:rsidRPr="00C74E47">
        <w:rPr>
          <w:rFonts w:ascii="Palatino Linotype" w:eastAsia="Palatino Linotype" w:hAnsi="Palatino Linotype" w:cs="Palatino Linotype"/>
          <w:color w:val="808080"/>
          <w:sz w:val="24"/>
          <w:szCs w:val="24"/>
        </w:rPr>
        <w:t>partisipasi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Metode</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digunakan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adalah</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penelitian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kuantitatif</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dengan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rancangan</w:t>
      </w:r>
      <w:proofErr w:type="spellEnd"/>
      <w:r w:rsidRPr="00C74E47">
        <w:rPr>
          <w:rFonts w:ascii="Palatino Linotype" w:eastAsia="Palatino Linotype" w:hAnsi="Palatino Linotype" w:cs="Palatino Linotype"/>
          <w:color w:val="808080"/>
          <w:sz w:val="24"/>
          <w:szCs w:val="24"/>
        </w:rPr>
        <w:t xml:space="preserve"> pretest-</w:t>
      </w:r>
      <w:proofErr w:type="spellStart"/>
      <w:r w:rsidRPr="00C74E47">
        <w:rPr>
          <w:rFonts w:ascii="Palatino Linotype" w:eastAsia="Palatino Linotype" w:hAnsi="Palatino Linotype" w:cs="Palatino Linotype"/>
          <w:color w:val="808080"/>
          <w:sz w:val="24"/>
          <w:szCs w:val="24"/>
        </w:rPr>
        <w:t>posttest</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Subjek</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penelitian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terdiri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dari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mengikuti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dengan</w:t>
      </w:r>
      <w:proofErr w:type="spellEnd"/>
      <w:r w:rsidRPr="00C74E47">
        <w:rPr>
          <w:rFonts w:ascii="Palatino Linotype" w:eastAsia="Palatino Linotype" w:hAnsi="Palatino Linotype" w:cs="Palatino Linotype"/>
          <w:color w:val="808080"/>
          <w:sz w:val="24"/>
          <w:szCs w:val="24"/>
        </w:rPr>
        <w:t xml:space="preserve"> model TPS, </w:t>
      </w:r>
      <w:proofErr w:type="spellStart"/>
      <w:r w:rsidRPr="00C74E47">
        <w:rPr>
          <w:rFonts w:ascii="Palatino Linotype" w:eastAsia="Palatino Linotype" w:hAnsi="Palatino Linotype" w:cs="Palatino Linotype"/>
          <w:color w:val="808080"/>
          <w:sz w:val="24"/>
          <w:szCs w:val="24"/>
        </w:rPr>
        <w:t>sedangkan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instrumen</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digunakan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meliputi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tes</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hasil</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belajar</w:t>
      </w:r>
      <w:proofErr w:type="spellEnd"/>
      <w:r w:rsidRPr="00C74E47">
        <w:rPr>
          <w:rFonts w:ascii="Palatino Linotype" w:eastAsia="Palatino Linotype" w:hAnsi="Palatino Linotype" w:cs="Palatino Linotype"/>
          <w:color w:val="808080"/>
          <w:sz w:val="24"/>
          <w:szCs w:val="24"/>
        </w:rPr>
        <w:t xml:space="preserve"> dan </w:t>
      </w:r>
      <w:proofErr w:type="spellStart"/>
      <w:r w:rsidRPr="00C74E47">
        <w:rPr>
          <w:rFonts w:ascii="Palatino Linotype" w:eastAsia="Palatino Linotype" w:hAnsi="Palatino Linotype" w:cs="Palatino Linotype"/>
          <w:color w:val="808080"/>
          <w:sz w:val="24"/>
          <w:szCs w:val="24"/>
        </w:rPr>
        <w:t>lembar</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observasi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aktivitas</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Hasil </w:t>
      </w:r>
      <w:proofErr w:type="spellStart"/>
      <w:r w:rsidRPr="00C74E47">
        <w:rPr>
          <w:rFonts w:ascii="Palatino Linotype" w:eastAsia="Palatino Linotype" w:hAnsi="Palatino Linotype" w:cs="Palatino Linotype"/>
          <w:color w:val="808080"/>
          <w:sz w:val="24"/>
          <w:szCs w:val="24"/>
        </w:rPr>
        <w:t>penelitian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menunjukkan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bahwa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penerapan</w:t>
      </w:r>
      <w:proofErr w:type="spellEnd"/>
      <w:r w:rsidRPr="00C74E47">
        <w:rPr>
          <w:rFonts w:ascii="Palatino Linotype" w:eastAsia="Palatino Linotype" w:hAnsi="Palatino Linotype" w:cs="Palatino Linotype"/>
          <w:color w:val="808080"/>
          <w:sz w:val="24"/>
          <w:szCs w:val="24"/>
        </w:rPr>
        <w:t xml:space="preserve"> model TPS </w:t>
      </w:r>
      <w:proofErr w:type="spellStart"/>
      <w:r w:rsidRPr="00C74E47">
        <w:rPr>
          <w:rFonts w:ascii="Palatino Linotype" w:eastAsia="Palatino Linotype" w:hAnsi="Palatino Linotype" w:cs="Palatino Linotype"/>
          <w:color w:val="808080"/>
          <w:sz w:val="24"/>
          <w:szCs w:val="24"/>
        </w:rPr>
        <w:t>mampu</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meningkatkan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hasil</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belajar</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secara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signifikan</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ditunjukkan</w:t>
      </w:r>
      <w:proofErr w:type="spellEnd"/>
      <w:r w:rsidRPr="00C74E47">
        <w:rPr>
          <w:rFonts w:ascii="Palatino Linotype" w:eastAsia="Palatino Linotype" w:hAnsi="Palatino Linotype" w:cs="Palatino Linotype"/>
          <w:color w:val="808080"/>
          <w:sz w:val="24"/>
          <w:szCs w:val="24"/>
        </w:rPr>
        <w:t xml:space="preserve"> oleh </w:t>
      </w:r>
      <w:proofErr w:type="spellStart"/>
      <w:r w:rsidRPr="00C74E47">
        <w:rPr>
          <w:rFonts w:ascii="Palatino Linotype" w:eastAsia="Palatino Linotype" w:hAnsi="Palatino Linotype" w:cs="Palatino Linotype"/>
          <w:color w:val="808080"/>
          <w:sz w:val="24"/>
          <w:szCs w:val="24"/>
        </w:rPr>
        <w:t>peningkatan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nilai</w:t>
      </w:r>
      <w:proofErr w:type="spellEnd"/>
      <w:r w:rsidRPr="00C74E47">
        <w:rPr>
          <w:rFonts w:ascii="Palatino Linotype" w:eastAsia="Palatino Linotype" w:hAnsi="Palatino Linotype" w:cs="Palatino Linotype"/>
          <w:color w:val="808080"/>
          <w:sz w:val="24"/>
          <w:szCs w:val="24"/>
        </w:rPr>
        <w:t xml:space="preserve"> rata-rata dan </w:t>
      </w:r>
      <w:proofErr w:type="spellStart"/>
      <w:r w:rsidRPr="00C74E47">
        <w:rPr>
          <w:rFonts w:ascii="Palatino Linotype" w:eastAsia="Palatino Linotype" w:hAnsi="Palatino Linotype" w:cs="Palatino Linotype"/>
          <w:color w:val="808080"/>
          <w:sz w:val="24"/>
          <w:szCs w:val="24"/>
        </w:rPr>
        <w:t>perolehan</w:t>
      </w:r>
      <w:proofErr w:type="spellEnd"/>
      <w:r w:rsidRPr="00C74E47">
        <w:rPr>
          <w:rFonts w:ascii="Palatino Linotype" w:eastAsia="Palatino Linotype" w:hAnsi="Palatino Linotype" w:cs="Palatino Linotype"/>
          <w:color w:val="808080"/>
          <w:sz w:val="24"/>
          <w:szCs w:val="24"/>
        </w:rPr>
        <w:t xml:space="preserve"> N-Gain </w:t>
      </w:r>
      <w:proofErr w:type="spellStart"/>
      <w:r w:rsidRPr="00C74E47">
        <w:rPr>
          <w:rFonts w:ascii="Palatino Linotype" w:eastAsia="Palatino Linotype" w:hAnsi="Palatino Linotype" w:cs="Palatino Linotype"/>
          <w:color w:val="808080"/>
          <w:sz w:val="24"/>
          <w:szCs w:val="24"/>
        </w:rPr>
        <w:t>dalam</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kategori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sedang</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hingga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lastRenderedPageBreak/>
        <w:t>tinggi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Selain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itu</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partisipasi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dalam</w:t>
      </w:r>
      <w:proofErr w:type="spellEnd"/>
      <w:r w:rsidRPr="00C74E47">
        <w:rPr>
          <w:rFonts w:ascii="Palatino Linotype" w:eastAsia="Palatino Linotype" w:hAnsi="Palatino Linotype" w:cs="Palatino Linotype"/>
          <w:color w:val="808080"/>
          <w:sz w:val="24"/>
          <w:szCs w:val="24"/>
        </w:rPr>
        <w:t xml:space="preserve"> proses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juga </w:t>
      </w:r>
      <w:proofErr w:type="spellStart"/>
      <w:r w:rsidRPr="00C74E47">
        <w:rPr>
          <w:rFonts w:ascii="Palatino Linotype" w:eastAsia="Palatino Linotype" w:hAnsi="Palatino Linotype" w:cs="Palatino Linotype"/>
          <w:color w:val="808080"/>
          <w:sz w:val="24"/>
          <w:szCs w:val="24"/>
        </w:rPr>
        <w:t>meningkat</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terutama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dalam</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kegiatan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diskusi</w:t>
      </w:r>
      <w:proofErr w:type="spellEnd"/>
      <w:r w:rsidRPr="00C74E47">
        <w:rPr>
          <w:rFonts w:ascii="Palatino Linotype" w:eastAsia="Palatino Linotype" w:hAnsi="Palatino Linotype" w:cs="Palatino Linotype"/>
          <w:color w:val="808080"/>
          <w:sz w:val="24"/>
          <w:szCs w:val="24"/>
        </w:rPr>
        <w:t xml:space="preserve"> dan </w:t>
      </w:r>
      <w:proofErr w:type="spellStart"/>
      <w:r w:rsidRPr="00C74E47">
        <w:rPr>
          <w:rFonts w:ascii="Palatino Linotype" w:eastAsia="Palatino Linotype" w:hAnsi="Palatino Linotype" w:cs="Palatino Linotype"/>
          <w:color w:val="808080"/>
          <w:sz w:val="24"/>
          <w:szCs w:val="24"/>
        </w:rPr>
        <w:t>penyampaian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pendapat</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Namun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terdapat</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variasi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peningkatan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hasil</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belajar</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antarsiswa</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menunjukkan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bahwa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tidak</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semua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mengalami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peningkatan</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sama</w:t>
      </w:r>
      <w:proofErr w:type="spellEnd"/>
      <w:r w:rsidRPr="00C74E47">
        <w:rPr>
          <w:rFonts w:ascii="Palatino Linotype" w:eastAsia="Palatino Linotype" w:hAnsi="Palatino Linotype" w:cs="Palatino Linotype"/>
          <w:color w:val="808080"/>
          <w:sz w:val="24"/>
          <w:szCs w:val="24"/>
        </w:rPr>
        <w:t xml:space="preserve">. Kesimpulan </w:t>
      </w:r>
      <w:proofErr w:type="spellStart"/>
      <w:r w:rsidRPr="00C74E47">
        <w:rPr>
          <w:rFonts w:ascii="Palatino Linotype" w:eastAsia="Palatino Linotype" w:hAnsi="Palatino Linotype" w:cs="Palatino Linotype"/>
          <w:color w:val="808080"/>
          <w:sz w:val="24"/>
          <w:szCs w:val="24"/>
        </w:rPr>
        <w:t>dari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penelitian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ini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adalah</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bahwa</w:t>
      </w:r>
      <w:proofErr w:type="spellEnd"/>
      <w:r w:rsidRPr="00C74E47">
        <w:rPr>
          <w:rFonts w:ascii="Palatino Linotype" w:eastAsia="Palatino Linotype" w:hAnsi="Palatino Linotype" w:cs="Palatino Linotype"/>
          <w:color w:val="808080"/>
          <w:sz w:val="24"/>
          <w:szCs w:val="24"/>
        </w:rPr>
        <w:t xml:space="preserve"> model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Think Pair Share </w:t>
      </w:r>
      <w:proofErr w:type="spellStart"/>
      <w:r w:rsidRPr="00C74E47">
        <w:rPr>
          <w:rFonts w:ascii="Palatino Linotype" w:eastAsia="Palatino Linotype" w:hAnsi="Palatino Linotype" w:cs="Palatino Linotype"/>
          <w:color w:val="808080"/>
          <w:sz w:val="24"/>
          <w:szCs w:val="24"/>
        </w:rPr>
        <w:t>efektif</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dalam</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meningkatkan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hasil</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belajar</w:t>
      </w:r>
      <w:proofErr w:type="spellEnd"/>
      <w:r w:rsidRPr="00C74E47">
        <w:rPr>
          <w:rFonts w:ascii="Palatino Linotype" w:eastAsia="Palatino Linotype" w:hAnsi="Palatino Linotype" w:cs="Palatino Linotype"/>
          <w:color w:val="808080"/>
          <w:sz w:val="24"/>
          <w:szCs w:val="24"/>
        </w:rPr>
        <w:t xml:space="preserve"> dan </w:t>
      </w:r>
      <w:proofErr w:type="spellStart"/>
      <w:r w:rsidRPr="00C74E47">
        <w:rPr>
          <w:rFonts w:ascii="Palatino Linotype" w:eastAsia="Palatino Linotype" w:hAnsi="Palatino Linotype" w:cs="Palatino Linotype"/>
          <w:color w:val="808080"/>
          <w:sz w:val="24"/>
          <w:szCs w:val="24"/>
        </w:rPr>
        <w:t>partisipasi</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siswa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serta</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dapat</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dijadikan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sebagai</w:t>
      </w:r>
      <w:proofErr w:type="spellEnd"/>
      <w:r w:rsidRPr="00C74E47">
        <w:rPr>
          <w:rFonts w:ascii="Palatino Linotype" w:eastAsia="Palatino Linotype" w:hAnsi="Palatino Linotype" w:cs="Palatino Linotype"/>
          <w:color w:val="808080"/>
          <w:sz w:val="24"/>
          <w:szCs w:val="24"/>
        </w:rPr>
        <w:t xml:space="preserve"> salah </w:t>
      </w:r>
      <w:proofErr w:type="spellStart"/>
      <w:r w:rsidRPr="00C74E47">
        <w:rPr>
          <w:rFonts w:ascii="Palatino Linotype" w:eastAsia="Palatino Linotype" w:hAnsi="Palatino Linotype" w:cs="Palatino Linotype"/>
          <w:color w:val="808080"/>
          <w:sz w:val="24"/>
          <w:szCs w:val="24"/>
        </w:rPr>
        <w:t>satu</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alternatif</w:t>
      </w:r>
      <w:proofErr w:type="spellEnd"/>
      <w:r w:rsidRPr="00C74E47">
        <w:rPr>
          <w:rFonts w:ascii="Palatino Linotype" w:eastAsia="Palatino Linotype" w:hAnsi="Palatino Linotype" w:cs="Palatino Linotype"/>
          <w:color w:val="808080"/>
          <w:sz w:val="24"/>
          <w:szCs w:val="24"/>
        </w:rPr>
        <w:t xml:space="preserve"> strategi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inovatif</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untuk</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menciptakan</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pembelajaran</w:t>
      </w:r>
      <w:proofErr w:type="spellEnd"/>
      <w:r w:rsidRPr="00C74E47">
        <w:rPr>
          <w:rFonts w:ascii="Palatino Linotype" w:eastAsia="Palatino Linotype" w:hAnsi="Palatino Linotype" w:cs="Palatino Linotype"/>
          <w:color w:val="808080"/>
          <w:sz w:val="24"/>
          <w:szCs w:val="24"/>
        </w:rPr>
        <w:t xml:space="preserve"> yang </w:t>
      </w:r>
      <w:proofErr w:type="spellStart"/>
      <w:r w:rsidRPr="00C74E47">
        <w:rPr>
          <w:rFonts w:ascii="Palatino Linotype" w:eastAsia="Palatino Linotype" w:hAnsi="Palatino Linotype" w:cs="Palatino Linotype"/>
          <w:color w:val="808080"/>
          <w:sz w:val="24"/>
          <w:szCs w:val="24"/>
        </w:rPr>
        <w:t>lebih</w:t>
      </w:r>
      <w:proofErr w:type="spellEnd"/>
      <w:r w:rsidRPr="00C74E47">
        <w:rPr>
          <w:rFonts w:ascii="Palatino Linotype" w:eastAsia="Palatino Linotype" w:hAnsi="Palatino Linotype" w:cs="Palatino Linotype"/>
          <w:color w:val="808080"/>
          <w:sz w:val="24"/>
          <w:szCs w:val="24"/>
        </w:rPr>
        <w:t xml:space="preserve"> </w:t>
      </w:r>
      <w:proofErr w:type="spellStart"/>
      <w:r w:rsidRPr="00C74E47">
        <w:rPr>
          <w:rFonts w:ascii="Palatino Linotype" w:eastAsia="Palatino Linotype" w:hAnsi="Palatino Linotype" w:cs="Palatino Linotype"/>
          <w:color w:val="808080"/>
          <w:sz w:val="24"/>
          <w:szCs w:val="24"/>
        </w:rPr>
        <w:t>aktif</w:t>
      </w:r>
      <w:proofErr w:type="spellEnd"/>
      <w:r w:rsidRPr="00C74E47">
        <w:rPr>
          <w:rFonts w:ascii="Palatino Linotype" w:eastAsia="Palatino Linotype" w:hAnsi="Palatino Linotype" w:cs="Palatino Linotype"/>
          <w:color w:val="808080"/>
          <w:sz w:val="24"/>
          <w:szCs w:val="24"/>
        </w:rPr>
        <w:t xml:space="preserve"> dan </w:t>
      </w:r>
      <w:proofErr w:type="spellStart"/>
      <w:r w:rsidRPr="00C74E47">
        <w:rPr>
          <w:rFonts w:ascii="Palatino Linotype" w:eastAsia="Palatino Linotype" w:hAnsi="Palatino Linotype" w:cs="Palatino Linotype"/>
          <w:color w:val="808080"/>
          <w:sz w:val="24"/>
          <w:szCs w:val="24"/>
        </w:rPr>
        <w:t>kolaboratif</w:t>
      </w:r>
      <w:proofErr w:type="spellEnd"/>
      <w:r w:rsidRPr="00C74E47">
        <w:rPr>
          <w:rFonts w:ascii="Palatino Linotype" w:eastAsia="Palatino Linotype" w:hAnsi="Palatino Linotype" w:cs="Palatino Linotype"/>
          <w:color w:val="808080"/>
          <w:sz w:val="24"/>
          <w:szCs w:val="24"/>
        </w:rPr>
        <w:t>.</w:t>
      </w:r>
    </w:p>
    <w:p w14:paraId="444CB9AF" w14:textId="558580B1" w:rsidR="004B5F1B" w:rsidRDefault="004B5F1B" w:rsidP="004B5F1B">
      <w:pPr>
        <w:spacing w:after="300"/>
      </w:pPr>
      <w:r>
        <w:rPr>
          <w:rFonts w:ascii="Palatino Linotype" w:eastAsia="Palatino Linotype" w:hAnsi="Palatino Linotype" w:cs="Palatino Linotype"/>
          <w:color w:val="000000"/>
          <w:sz w:val="24"/>
          <w:szCs w:val="24"/>
        </w:rPr>
        <w:t xml:space="preserve">Keywords: </w:t>
      </w:r>
      <w:r w:rsidR="000C5028" w:rsidRPr="000C5028">
        <w:rPr>
          <w:rFonts w:ascii="Palatino Linotype" w:eastAsia="Palatino Linotype" w:hAnsi="Palatino Linotype" w:cs="Palatino Linotype"/>
          <w:i/>
          <w:iCs/>
          <w:color w:val="000000"/>
          <w:sz w:val="24"/>
          <w:szCs w:val="24"/>
        </w:rPr>
        <w:t>Cooperative, Student Learning Outcomes, Student Participation, Think of it as a pair</w:t>
      </w:r>
      <w:r w:rsidR="000C5028">
        <w:rPr>
          <w:rFonts w:ascii="Palatino Linotype" w:eastAsia="Palatino Linotype" w:hAnsi="Palatino Linotype" w:cs="Palatino Linotype"/>
          <w:i/>
          <w:iCs/>
          <w:color w:val="000000"/>
          <w:sz w:val="24"/>
          <w:szCs w:val="24"/>
        </w:rPr>
        <w:t>.</w:t>
      </w:r>
    </w:p>
    <w:p w14:paraId="4E7C56B9" w14:textId="023CE9F4" w:rsidR="004B5F1B" w:rsidRDefault="004B5F1B" w:rsidP="004B5F1B">
      <w:pPr>
        <w:spacing w:after="120" w:line="276" w:lineRule="auto"/>
      </w:pPr>
      <w:r>
        <w:rPr>
          <w:rFonts w:ascii="Palatino Linotype" w:eastAsia="Palatino Linotype" w:hAnsi="Palatino Linotype" w:cs="Palatino Linotype"/>
          <w:b/>
          <w:bCs/>
          <w:color w:val="000000"/>
          <w:sz w:val="24"/>
          <w:szCs w:val="24"/>
        </w:rPr>
        <w:t>I.</w:t>
      </w:r>
      <w:r>
        <w:rPr>
          <w:rFonts w:ascii="Palatino Linotype" w:eastAsia="Palatino Linotype" w:hAnsi="Palatino Linotype" w:cs="Palatino Linotype"/>
          <w:b/>
          <w:bCs/>
          <w:color w:val="000000"/>
          <w:sz w:val="24"/>
          <w:szCs w:val="24"/>
        </w:rPr>
        <w:tab/>
        <w:t>INTRODUCTION</w:t>
      </w:r>
    </w:p>
    <w:p w14:paraId="5C1F5103" w14:textId="09849BCF"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Mathematics holds a central position in education as a discipline that fosters the ability to think logically, analytically, and critically. However, the quality of mathematics learning at the junior and senior high school levels in Indonesia is still a serious concern. Based on the results</w:t>
      </w:r>
      <w:r>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t xml:space="preserve">of the Programme for International Student Assessment (PISA) 2022, Indonesia ranks 70th out of 81 countries with an average score of 366, far below the OECD average of 472 </w:t>
      </w:r>
      <w:sdt>
        <w:sdtPr>
          <w:rPr>
            <w:rFonts w:ascii="Palatino Linotype" w:eastAsia="Palatino Linotype" w:hAnsi="Palatino Linotype" w:cs="Palatino Linotype"/>
            <w:color w:val="000000"/>
            <w:sz w:val="24"/>
            <w:szCs w:val="24"/>
          </w:rPr>
          <w:tag w:val="MENDELEY_CITATION_v3_eyJjaXRhdGlvbklEIjoiTUVOREVMRVlfQ0lUQVRJT05fNDJmNGJiZTctOGZkMi00ODMzLTkyYmYtOGU5ZjMzYzYwNzFk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
          <w:id w:val="2129744062"/>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w:t>
          </w:r>
        </w:sdtContent>
      </w:sdt>
      <w:r w:rsidRPr="00614FC9">
        <w:rPr>
          <w:rFonts w:ascii="Palatino Linotype" w:eastAsia="Palatino Linotype" w:hAnsi="Palatino Linotype" w:cs="Palatino Linotype"/>
          <w:color w:val="000000"/>
          <w:sz w:val="24"/>
          <w:szCs w:val="24"/>
        </w:rPr>
        <w:t>. In addition, almost none of the students reach Level 5 or 6, which demands a high level of reasoning and data interpretation skills</w:t>
      </w:r>
      <w:r>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ZTQzNWRkMjAtMzdjOC00YzgzLTk3ZDMtMmMxNWFlMzYxNTc0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
          <w:id w:val="-379939599"/>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w:t>
          </w:r>
        </w:sdtContent>
      </w:sdt>
      <w:r>
        <w:rPr>
          <w:rFonts w:ascii="Palatino Linotype" w:eastAsia="Palatino Linotype" w:hAnsi="Palatino Linotype" w:cs="Palatino Linotype"/>
          <w:color w:val="000000"/>
          <w:sz w:val="24"/>
          <w:szCs w:val="24"/>
        </w:rPr>
        <w:t>.</w:t>
      </w:r>
    </w:p>
    <w:p w14:paraId="3873CCD0" w14:textId="09728702"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These weaknesses are related to learning on the topic of correlation analysis, which essentially requires the ability to interpret relationships between variables and competency data-based reasoning that is also the focus of PISA assessments, especially in the domain of uncertainty and data </w:t>
      </w:r>
      <w:sdt>
        <w:sdtPr>
          <w:rPr>
            <w:rFonts w:ascii="Palatino Linotype" w:eastAsia="Palatino Linotype" w:hAnsi="Palatino Linotype" w:cs="Palatino Linotype"/>
            <w:color w:val="000000"/>
            <w:sz w:val="24"/>
            <w:szCs w:val="24"/>
          </w:rPr>
          <w:tag w:val="MENDELEY_CITATION_v3_eyJjaXRhdGlvbklEIjoiTUVOREVMRVlfQ0lUQVRJT05fYTQxNjIzNGQtMTg3Ny00ZThjLWIzMmEtMDcyYWIxMmM5Mzcz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
          <w:id w:val="1639610147"/>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w:t>
          </w:r>
        </w:sdtContent>
      </w:sdt>
      <w:r>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t xml:space="preserve">However, correlation learning in schools often focuses on the procedure of calculating coefficients without understanding the meaning of the relationship. As a result, students have difficulty interpreting the direction and power of correlation and relating it to context </w:t>
      </w:r>
      <w:sdt>
        <w:sdtPr>
          <w:rPr>
            <w:rFonts w:ascii="Palatino Linotype" w:eastAsia="Palatino Linotype" w:hAnsi="Palatino Linotype" w:cs="Palatino Linotype"/>
            <w:color w:val="000000"/>
            <w:sz w:val="24"/>
            <w:szCs w:val="24"/>
          </w:rPr>
          <w:tag w:val="MENDELEY_CITATION_v3_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"/>
          <w:id w:val="1733039831"/>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[2]</w:t>
          </w:r>
        </w:sdtContent>
      </w:sdt>
      <w:r>
        <w:rPr>
          <w:rFonts w:ascii="Palatino Linotype" w:eastAsia="Palatino Linotype" w:hAnsi="Palatino Linotype" w:cs="Palatino Linotype"/>
          <w:color w:val="000000"/>
          <w:sz w:val="24"/>
          <w:szCs w:val="24"/>
        </w:rPr>
        <w:t>.</w:t>
      </w:r>
    </w:p>
    <w:p w14:paraId="4D85108B" w14:textId="2CF3B789"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Some studies on school students also show that the main difficulty lies in understanding concepts rather than calculations. For example, students often mistakenly interpret correlations as causal relationships or are unable to read the relationship patterns of scatter plots </w:t>
      </w:r>
      <w:sdt>
        <w:sdtPr>
          <w:rPr>
            <w:rFonts w:ascii="Palatino Linotype" w:eastAsia="Palatino Linotype" w:hAnsi="Palatino Linotype" w:cs="Palatino Linotype"/>
            <w:color w:val="000000"/>
            <w:sz w:val="24"/>
            <w:szCs w:val="24"/>
          </w:rPr>
          <w:tag w:val="MENDELEY_CITATION_v3_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"/>
          <w:id w:val="418530607"/>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[3]</w:t>
          </w:r>
        </w:sdtContent>
      </w:sdt>
      <w:r w:rsidRPr="00614FC9">
        <w:rPr>
          <w:rFonts w:ascii="Palatino Linotype" w:eastAsia="Palatino Linotype" w:hAnsi="Palatino Linotype" w:cs="Palatino Linotype"/>
          <w:color w:val="000000"/>
          <w:sz w:val="24"/>
          <w:szCs w:val="24"/>
        </w:rPr>
        <w:t xml:space="preserve">. To overcome this, learning that involves active interaction such as the cooperative model has proven to be more effective. </w:t>
      </w:r>
      <w:r w:rsidRPr="00614FC9">
        <w:rPr>
          <w:rFonts w:ascii="Palatino Linotype" w:eastAsia="Palatino Linotype" w:hAnsi="Palatino Linotype" w:cs="Palatino Linotype"/>
          <w:color w:val="000000"/>
          <w:sz w:val="24"/>
          <w:szCs w:val="24"/>
        </w:rPr>
        <w:lastRenderedPageBreak/>
        <w:t xml:space="preserve">Research by shows that cooperative learning in students can improve critical thinking skills and data interpretation, which is important in understanding the concept of correlation. Thus, the low achievement of PISA can be attributed to the lack of optimal learning in materials such as correlation analysis which is still procedurally oriented, so that students have not developed in their ability to reason and interpret data in depth </w:t>
      </w:r>
      <w:sdt>
        <w:sdtPr>
          <w:rPr>
            <w:rFonts w:ascii="Palatino Linotype" w:eastAsia="Palatino Linotype" w:hAnsi="Palatino Linotype" w:cs="Palatino Linotype"/>
            <w:color w:val="000000"/>
            <w:sz w:val="24"/>
            <w:szCs w:val="24"/>
          </w:rPr>
          <w:tag w:val="MENDELEY_CITATION_v3_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"/>
          <w:id w:val="340437425"/>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[4]</w:t>
          </w:r>
        </w:sdtContent>
      </w:sdt>
      <w:r>
        <w:rPr>
          <w:rFonts w:ascii="Palatino Linotype" w:eastAsia="Palatino Linotype" w:hAnsi="Palatino Linotype" w:cs="Palatino Linotype"/>
          <w:color w:val="000000"/>
          <w:sz w:val="24"/>
          <w:szCs w:val="24"/>
        </w:rPr>
        <w:t>.</w:t>
      </w:r>
    </w:p>
    <w:p w14:paraId="04D87B31" w14:textId="52933538"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A teacher-</w:t>
      </w:r>
      <w:proofErr w:type="spellStart"/>
      <w:r w:rsidRPr="00614FC9">
        <w:rPr>
          <w:rFonts w:ascii="Palatino Linotype" w:eastAsia="Palatino Linotype" w:hAnsi="Palatino Linotype" w:cs="Palatino Linotype"/>
          <w:color w:val="000000"/>
          <w:sz w:val="24"/>
          <w:szCs w:val="24"/>
        </w:rPr>
        <w:t>centered</w:t>
      </w:r>
      <w:proofErr w:type="spellEnd"/>
      <w:r w:rsidRPr="00614FC9">
        <w:rPr>
          <w:rFonts w:ascii="Palatino Linotype" w:eastAsia="Palatino Linotype" w:hAnsi="Palatino Linotype" w:cs="Palatino Linotype"/>
          <w:color w:val="000000"/>
          <w:sz w:val="24"/>
          <w:szCs w:val="24"/>
        </w:rPr>
        <w:t xml:space="preserve"> approach to teaching and prioritizing procedural steps over conceptual understanding has long been recognized as a major contributor to low math achievement among students. When classroom teaching does not actively engage students in the learning process, their ability to build genuine conceptual understanding becomes severely constrained. Students who remain passive in the classroom tend to miss out on the opportunity to form meaningful connections between abstract mathematical ideas and practical applications, which in turn results in surface-level learning and reduced enthusiasm for learning (</w:t>
      </w:r>
      <w:sdt>
        <w:sdtPr>
          <w:rPr>
            <w:rFonts w:ascii="Palatino Linotype" w:eastAsia="Palatino Linotype" w:hAnsi="Palatino Linotype" w:cs="Palatino Linotype"/>
            <w:color w:val="000000"/>
            <w:sz w:val="24"/>
            <w:szCs w:val="24"/>
          </w:rPr>
          <w:tag w:val="MENDELEY_CITATION_v3_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"/>
          <w:id w:val="-621141447"/>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[5]</w:t>
          </w:r>
        </w:sdtContent>
      </w:sdt>
      <w:r w:rsidRPr="00614FC9">
        <w:rPr>
          <w:rFonts w:ascii="Palatino Linotype" w:eastAsia="Palatino Linotype" w:hAnsi="Palatino Linotype" w:cs="Palatino Linotype"/>
          <w:color w:val="000000"/>
          <w:sz w:val="24"/>
          <w:szCs w:val="24"/>
        </w:rPr>
        <w:t>;</w:t>
      </w:r>
      <w:sdt>
        <w:sdtPr>
          <w:rPr>
            <w:rFonts w:ascii="Palatino Linotype" w:eastAsia="Palatino Linotype" w:hAnsi="Palatino Linotype" w:cs="Palatino Linotype"/>
            <w:color w:val="000000"/>
            <w:sz w:val="24"/>
            <w:szCs w:val="24"/>
          </w:rPr>
          <w:tag w:val="MENDELEY_CITATION_v3_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"/>
          <w:id w:val="-550700855"/>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[6]</w:t>
          </w:r>
        </w:sdtContent>
      </w:sdt>
      <w:r w:rsidRPr="00614FC9">
        <w:rPr>
          <w:rFonts w:ascii="Palatino Linotype" w:eastAsia="Palatino Linotype" w:hAnsi="Palatino Linotype" w:cs="Palatino Linotype"/>
          <w:color w:val="000000"/>
          <w:sz w:val="24"/>
          <w:szCs w:val="24"/>
        </w:rPr>
        <w:t>;</w:t>
      </w:r>
      <w:sdt>
        <w:sdtPr>
          <w:rPr>
            <w:rFonts w:ascii="Palatino Linotype" w:eastAsia="Palatino Linotype" w:hAnsi="Palatino Linotype" w:cs="Palatino Linotype"/>
            <w:color w:val="000000"/>
            <w:sz w:val="24"/>
            <w:szCs w:val="24"/>
          </w:rPr>
          <w:tag w:val="MENDELEY_CITATION_v3_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"/>
          <w:id w:val="-1168790115"/>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[7]</w:t>
          </w:r>
        </w:sdtContent>
      </w:sdt>
      <w:r w:rsidRPr="00614FC9">
        <w:rPr>
          <w:rFonts w:ascii="Palatino Linotype" w:eastAsia="Palatino Linotype" w:hAnsi="Palatino Linotype" w:cs="Palatino Linotype"/>
          <w:color w:val="000000"/>
          <w:sz w:val="24"/>
          <w:szCs w:val="24"/>
        </w:rPr>
        <w:t>).</w:t>
      </w:r>
    </w:p>
    <w:p w14:paraId="7FFAC058" w14:textId="659BFA6F"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In response to these challenges, cooperative learning models have gained increasing attention as a more student-</w:t>
      </w:r>
      <w:proofErr w:type="spellStart"/>
      <w:r w:rsidRPr="00614FC9">
        <w:rPr>
          <w:rFonts w:ascii="Palatino Linotype" w:eastAsia="Palatino Linotype" w:hAnsi="Palatino Linotype" w:cs="Palatino Linotype"/>
          <w:color w:val="000000"/>
          <w:sz w:val="24"/>
          <w:szCs w:val="24"/>
        </w:rPr>
        <w:t>centered</w:t>
      </w:r>
      <w:proofErr w:type="spellEnd"/>
      <w:r w:rsidRPr="00614FC9">
        <w:rPr>
          <w:rFonts w:ascii="Palatino Linotype" w:eastAsia="Palatino Linotype" w:hAnsi="Palatino Linotype" w:cs="Palatino Linotype"/>
          <w:color w:val="000000"/>
          <w:sz w:val="24"/>
          <w:szCs w:val="24"/>
        </w:rPr>
        <w:t xml:space="preserve"> alternative. Among them, the Think-Pair-Share (TPS) model is a well-structured cooperative strategy in which students are first given time to think individually about a problem, then pair up with classmates to discuss their thoughts, and finally share their ideas with the rest of the class. This sequential three-phase process is designed to encourage deeper cognitive processing, encourage peer-to-peer dialogue, and develop students' ability to communicate mathematical thoughts, as documented by </w:t>
      </w:r>
      <w:sdt>
        <w:sdtPr>
          <w:rPr>
            <w:rFonts w:ascii="Palatino Linotype" w:eastAsia="Palatino Linotype" w:hAnsi="Palatino Linotype" w:cs="Palatino Linotype"/>
            <w:color w:val="000000"/>
            <w:sz w:val="24"/>
            <w:szCs w:val="24"/>
          </w:rPr>
          <w:tag w:val="MENDELEY_CITATION_v3_eyJjaXRhdGlvbklEIjoiTUVOREVMRVlfQ0lUQVRJT05fN2JmMjgzOWMtYjAzYy00ZWJmLTkyMmMtMGQzMWU0YTNlYTc3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
          <w:id w:val="-274632604"/>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[8]</w:t>
          </w:r>
        </w:sdtContent>
      </w:sdt>
      <w:r w:rsidRPr="00614FC9">
        <w:rPr>
          <w:rFonts w:ascii="Palatino Linotype" w:eastAsia="Palatino Linotype" w:hAnsi="Palatino Linotype" w:cs="Palatino Linotype"/>
          <w:color w:val="000000"/>
          <w:sz w:val="24"/>
          <w:szCs w:val="24"/>
        </w:rPr>
        <w:t xml:space="preserve">. Empirically, TPS has been shown to increase the frequency and depth of student participation relative to conventional teacher-led question and answer patterns </w:t>
      </w:r>
      <w:sdt>
        <w:sdtPr>
          <w:rPr>
            <w:rFonts w:ascii="Palatino Linotype" w:eastAsia="Palatino Linotype" w:hAnsi="Palatino Linotype" w:cs="Palatino Linotype"/>
            <w:color w:val="000000"/>
            <w:sz w:val="24"/>
            <w:szCs w:val="24"/>
          </w:rPr>
          <w:tag w:val="MENDELEY_CITATION_v3_eyJjaXRhdGlvbklEIjoiTUVOREVMRVlfQ0lUQVRJT05fMzgzYTYwMTgtOTMyYS00ZGUzLWEyNzUtYjg3ODgyMTAxYzZh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
          <w:id w:val="-1108967296"/>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[8]</w:t>
          </w:r>
        </w:sdtContent>
      </w:sdt>
      <w:r w:rsidRPr="00614FC9">
        <w:rPr>
          <w:rFonts w:ascii="Palatino Linotype" w:eastAsia="Palatino Linotype" w:hAnsi="Palatino Linotype" w:cs="Palatino Linotype"/>
          <w:color w:val="000000"/>
          <w:sz w:val="24"/>
          <w:szCs w:val="24"/>
        </w:rPr>
        <w:t>. It was also found that mathematics learning activities at the secondary level increased after the implementation of TPS</w:t>
      </w:r>
      <w:sdt>
        <w:sdtPr>
          <w:rPr>
            <w:rFonts w:ascii="Palatino Linotype" w:eastAsia="Palatino Linotype" w:hAnsi="Palatino Linotype" w:cs="Palatino Linotype"/>
            <w:color w:val="000000"/>
            <w:sz w:val="24"/>
            <w:szCs w:val="24"/>
          </w:rPr>
          <w:tag w:val="MENDELEY_CITATION_v3_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"/>
          <w:id w:val="-1751347584"/>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[9]</w:t>
          </w:r>
        </w:sdtContent>
      </w:sdt>
      <w:r w:rsidRPr="00614FC9">
        <w:rPr>
          <w:rFonts w:ascii="Palatino Linotype" w:eastAsia="Palatino Linotype" w:hAnsi="Palatino Linotype" w:cs="Palatino Linotype"/>
          <w:color w:val="000000"/>
          <w:sz w:val="24"/>
          <w:szCs w:val="24"/>
        </w:rPr>
        <w:t>.</w:t>
      </w:r>
    </w:p>
    <w:p w14:paraId="51B1DCFD" w14:textId="3878F508"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Although research on the effectiveness of the Think-Pair-Share (TPS) cooperative learning model has developed widely in mathematics education, studies that specifically examine its application to correlation analysis materials at the high school level are still limited, as shown by recent studies that focus more on improving general skills such as problem-solving and mathematical communication than on the context of specific statistical material. Previous </w:t>
      </w:r>
      <w:r w:rsidRPr="00614FC9">
        <w:rPr>
          <w:rFonts w:ascii="Palatino Linotype" w:eastAsia="Palatino Linotype" w:hAnsi="Palatino Linotype" w:cs="Palatino Linotype"/>
          <w:color w:val="000000"/>
          <w:sz w:val="24"/>
          <w:szCs w:val="24"/>
        </w:rPr>
        <w:lastRenderedPageBreak/>
        <w:t xml:space="preserve">research has shown that learning statistics at the school level is still relatively less attention than other topics such as algebra and arithmetic, especially in the development of students' conceptual understanding </w:t>
      </w:r>
      <w:r>
        <w:rPr>
          <w:rFonts w:ascii="Palatino Linotype" w:eastAsia="Palatino Linotype" w:hAnsi="Palatino Linotype" w:cs="Palatino Linotype"/>
          <w:color w:val="000000"/>
          <w:sz w:val="24"/>
          <w:szCs w:val="24"/>
        </w:rPr>
        <w:t>(</w:t>
      </w:r>
      <w:sdt>
        <w:sdtPr>
          <w:rPr>
            <w:rFonts w:ascii="Palatino Linotype" w:eastAsia="Palatino Linotype" w:hAnsi="Palatino Linotype" w:cs="Palatino Linotype"/>
            <w:color w:val="000000"/>
            <w:sz w:val="24"/>
            <w:szCs w:val="24"/>
          </w:rPr>
          <w:tag w:val="MENDELEY_CITATION_v3_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"/>
          <w:id w:val="1104993220"/>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[10]</w:t>
          </w:r>
        </w:sdtContent>
      </w:sdt>
      <w:r w:rsidRPr="00614FC9">
        <w:rPr>
          <w:rFonts w:ascii="Palatino Linotype" w:eastAsia="Palatino Linotype" w:hAnsi="Palatino Linotype" w:cs="Palatino Linotype"/>
          <w:color w:val="000000"/>
          <w:sz w:val="24"/>
          <w:szCs w:val="24"/>
        </w:rPr>
        <w:t>;</w:t>
      </w:r>
      <w:sdt>
        <w:sdtPr>
          <w:rPr>
            <w:rFonts w:ascii="Palatino Linotype" w:eastAsia="Palatino Linotype" w:hAnsi="Palatino Linotype" w:cs="Palatino Linotype"/>
            <w:color w:val="000000"/>
            <w:sz w:val="24"/>
            <w:szCs w:val="24"/>
          </w:rPr>
          <w:tag w:val="MENDELEY_CITATION_v3_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"/>
          <w:id w:val="-1584141216"/>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[2]</w:t>
          </w:r>
        </w:sdtContent>
      </w:sdt>
      <w:r>
        <w:rPr>
          <w:rFonts w:ascii="Palatino Linotype" w:eastAsia="Palatino Linotype" w:hAnsi="Palatino Linotype" w:cs="Palatino Linotype"/>
          <w:color w:val="000000"/>
          <w:sz w:val="24"/>
          <w:szCs w:val="24"/>
        </w:rPr>
        <w:t>).</w:t>
      </w:r>
    </w:p>
    <w:p w14:paraId="2F77BAD7" w14:textId="67B31812"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More specifically, various studies in high school students show that correlation material is still a difficult topic to understand, especially in interpreting the strength and direction of relationships between variables. Students also often experience misconceptions, such as thinking of correlations as cause-and-effect relationships as well as difficulty reading patterns on scatter diagrams (</w:t>
      </w:r>
      <w:sdt>
        <w:sdtPr>
          <w:rPr>
            <w:rFonts w:ascii="Palatino Linotype" w:eastAsia="Palatino Linotype" w:hAnsi="Palatino Linotype" w:cs="Palatino Linotype"/>
            <w:color w:val="000000"/>
            <w:sz w:val="24"/>
            <w:szCs w:val="24"/>
          </w:rPr>
          <w:tag w:val="MENDELEY_CITATION_v3_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"/>
          <w:id w:val="457926511"/>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[11]</w:t>
          </w:r>
        </w:sdtContent>
      </w:sdt>
      <w:r w:rsidRPr="00614FC9">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"/>
          <w:id w:val="-1933113528"/>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[12]</w:t>
          </w:r>
        </w:sdtContent>
      </w:sdt>
      <w:r w:rsidRPr="00614FC9">
        <w:rPr>
          <w:rFonts w:ascii="Palatino Linotype" w:eastAsia="Palatino Linotype" w:hAnsi="Palatino Linotype" w:cs="Palatino Linotype"/>
          <w:color w:val="000000"/>
          <w:sz w:val="24"/>
          <w:szCs w:val="24"/>
        </w:rPr>
        <w:t xml:space="preserve">). These findings show that learning still tends to be procedurally oriented and has not been optimal in developing students' statistical reasoning </w:t>
      </w:r>
      <w:sdt>
        <w:sdtPr>
          <w:rPr>
            <w:rFonts w:ascii="Palatino Linotype" w:eastAsia="Palatino Linotype" w:hAnsi="Palatino Linotype" w:cs="Palatino Linotype"/>
            <w:color w:val="000000"/>
            <w:sz w:val="24"/>
            <w:szCs w:val="24"/>
          </w:rPr>
          <w:tag w:val="MENDELEY_CITATION_v3_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"/>
          <w:id w:val="-817728787"/>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[13]</w:t>
          </w:r>
        </w:sdtContent>
      </w:sdt>
      <w:r w:rsidRPr="00614FC9">
        <w:rPr>
          <w:rFonts w:ascii="Palatino Linotype" w:eastAsia="Palatino Linotype" w:hAnsi="Palatino Linotype" w:cs="Palatino Linotype"/>
          <w:color w:val="000000"/>
          <w:sz w:val="24"/>
          <w:szCs w:val="24"/>
        </w:rPr>
        <w:t>.</w:t>
      </w:r>
    </w:p>
    <w:p w14:paraId="59732244" w14:textId="0EDC245A"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This condition is in line with the results of PISA 2022 which shows that the main weakness of students lies in the ability to interpret data and reasoning in the context of uncertainty. Thus, students' difficulties in understanding the concept of correlation can be seen as a concrete representation of the low mathematical literacy measured in PISA </w:t>
      </w:r>
      <w:sdt>
        <w:sdtPr>
          <w:rPr>
            <w:rFonts w:ascii="Palatino Linotype" w:eastAsia="Palatino Linotype" w:hAnsi="Palatino Linotype" w:cs="Palatino Linotype"/>
            <w:color w:val="000000"/>
            <w:sz w:val="24"/>
            <w:szCs w:val="24"/>
          </w:rPr>
          <w:tag w:val="MENDELEY_CITATION_v3_eyJjaXRhdGlvbklEIjoiTUVOREVMRVlfQ0lUQVRJT05fMzMzNjhmYzEtMmFkZC00YmVlLWFjYWItZGQyNjM3MmNjMjk5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
          <w:id w:val="-1847165053"/>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w:t>
          </w:r>
        </w:sdtContent>
      </w:sdt>
      <w:r w:rsidRPr="00614FC9">
        <w:rPr>
          <w:rFonts w:ascii="Palatino Linotype" w:eastAsia="Palatino Linotype" w:hAnsi="Palatino Linotype" w:cs="Palatino Linotype"/>
          <w:color w:val="000000"/>
          <w:sz w:val="24"/>
          <w:szCs w:val="24"/>
        </w:rPr>
        <w:t xml:space="preserve">. However, until now there have been very few studies that have empirically tested the effectiveness of cooperative learning models such as TPS specifically on correlation analysis materials at the secondary school level </w:t>
      </w:r>
      <w:sdt>
        <w:sdtPr>
          <w:rPr>
            <w:rFonts w:ascii="Palatino Linotype" w:eastAsia="Palatino Linotype" w:hAnsi="Palatino Linotype" w:cs="Palatino Linotype"/>
            <w:color w:val="000000"/>
            <w:sz w:val="24"/>
            <w:szCs w:val="24"/>
          </w:rPr>
          <w:tag w:val="MENDELEY_CITATION_v3_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"/>
          <w:id w:val="-1890869429"/>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([14]</w:t>
          </w:r>
        </w:sdtContent>
      </w:sdt>
      <w:r w:rsidRPr="00614FC9">
        <w:rPr>
          <w:rFonts w:ascii="Palatino Linotype" w:eastAsia="Palatino Linotype" w:hAnsi="Palatino Linotype" w:cs="Palatino Linotype"/>
          <w:color w:val="000000"/>
          <w:sz w:val="24"/>
          <w:szCs w:val="24"/>
        </w:rPr>
        <w:t>;</w:t>
      </w:r>
      <w:sdt>
        <w:sdtPr>
          <w:rPr>
            <w:rFonts w:ascii="Palatino Linotype" w:eastAsia="Palatino Linotype" w:hAnsi="Palatino Linotype" w:cs="Palatino Linotype"/>
            <w:color w:val="000000"/>
            <w:sz w:val="24"/>
            <w:szCs w:val="24"/>
          </w:rPr>
          <w:tag w:val="MENDELEY_CITATION_v3_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"/>
          <w:id w:val="1465079492"/>
          <w:placeholder>
            <w:docPart w:val="D3826F44498D433EBBDD93FCAA625A36"/>
          </w:placeholder>
        </w:sdtPr>
        <w:sdtContent>
          <w:r w:rsidR="0078405D" w:rsidRPr="0078405D">
            <w:rPr>
              <w:rFonts w:ascii="Palatino Linotype" w:eastAsia="Palatino Linotype" w:hAnsi="Palatino Linotype" w:cs="Palatino Linotype"/>
              <w:color w:val="000000"/>
              <w:sz w:val="24"/>
              <w:szCs w:val="24"/>
            </w:rPr>
            <w:t>[15])</w:t>
          </w:r>
        </w:sdtContent>
      </w:sdt>
      <w:r w:rsidRPr="00614FC9">
        <w:rPr>
          <w:rFonts w:ascii="Palatino Linotype" w:eastAsia="Palatino Linotype" w:hAnsi="Palatino Linotype" w:cs="Palatino Linotype"/>
          <w:color w:val="000000"/>
          <w:sz w:val="24"/>
          <w:szCs w:val="24"/>
        </w:rPr>
        <w:t>.</w:t>
      </w:r>
    </w:p>
    <w:p w14:paraId="1317E37B" w14:textId="02D8FD1E" w:rsidR="004B5F1B" w:rsidRP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Based on this description, this research is important to be carried out because there is still a gap between the demands of reasoning and data interpretation skills as measured in PISA and learning practices in the classroom that tend to be procedural, especially in correlation analysis materials. In addition, the limitations of research that specifically examined the effectiveness of the Think-Pair-Share (TPS) model on correlation topics at the secondary school level indicate the need for more contextual empirical evidence. Therefore, this research is expected to contribute to optimizing more meaningful statistical learning and improving student learning outcomes through a cooperative approach that encourages active engagement and conceptual understanding.</w:t>
      </w:r>
    </w:p>
    <w:p w14:paraId="167EAB38" w14:textId="479C5119" w:rsidR="004B5F1B" w:rsidRDefault="004B5F1B" w:rsidP="004B5F1B">
      <w:pPr>
        <w:spacing w:after="120" w:line="276" w:lineRule="auto"/>
      </w:pPr>
      <w:r>
        <w:rPr>
          <w:rFonts w:ascii="Palatino Linotype" w:eastAsia="Palatino Linotype" w:hAnsi="Palatino Linotype" w:cs="Palatino Linotype"/>
          <w:b/>
          <w:bCs/>
          <w:color w:val="000000"/>
          <w:sz w:val="24"/>
          <w:szCs w:val="24"/>
        </w:rPr>
        <w:t>II.</w:t>
      </w:r>
      <w:r>
        <w:rPr>
          <w:rFonts w:ascii="Palatino Linotype" w:eastAsia="Palatino Linotype" w:hAnsi="Palatino Linotype" w:cs="Palatino Linotype"/>
          <w:b/>
          <w:bCs/>
          <w:color w:val="000000"/>
          <w:sz w:val="24"/>
          <w:szCs w:val="24"/>
        </w:rPr>
        <w:tab/>
        <w:t>METHOD</w:t>
      </w:r>
    </w:p>
    <w:p w14:paraId="7363024E" w14:textId="5D552CB5" w:rsidR="000C5028" w:rsidRPr="00614FC9"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This study adopts a quantitative methodology and is categorized as a pre-experimental study. The research design applied was One Group Pretest-</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Design where only one group of participants was observed without the inclusion </w:t>
      </w:r>
      <w:r w:rsidRPr="00614FC9">
        <w:rPr>
          <w:rFonts w:ascii="Palatino Linotype" w:eastAsia="Palatino Linotype" w:hAnsi="Palatino Linotype" w:cs="Palatino Linotype"/>
          <w:color w:val="000000"/>
          <w:sz w:val="24"/>
          <w:szCs w:val="24"/>
        </w:rPr>
        <w:lastRenderedPageBreak/>
        <w:t xml:space="preserve">of a comparison group </w:t>
      </w:r>
      <w:sdt>
        <w:sdtPr>
          <w:rPr>
            <w:rFonts w:ascii="Palatino Linotype" w:eastAsia="Palatino Linotype" w:hAnsi="Palatino Linotype" w:cs="Palatino Linotype"/>
            <w:color w:val="000000"/>
            <w:sz w:val="24"/>
            <w:szCs w:val="24"/>
          </w:rPr>
          <w:tag w:val="MENDELEY_CITATION_v3_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"/>
          <w:id w:val="1089048717"/>
          <w:placeholder>
            <w:docPart w:val="1E5D74CF7865481C81A8F7936916AB55"/>
          </w:placeholder>
        </w:sdtPr>
        <w:sdtContent>
          <w:r w:rsidR="0078405D" w:rsidRPr="0078405D">
            <w:rPr>
              <w:rFonts w:ascii="Palatino Linotype" w:eastAsia="Palatino Linotype" w:hAnsi="Palatino Linotype" w:cs="Palatino Linotype"/>
              <w:color w:val="000000"/>
              <w:sz w:val="24"/>
              <w:szCs w:val="24"/>
            </w:rPr>
            <w:t>[16]</w:t>
          </w:r>
        </w:sdtContent>
      </w:sdt>
      <w:r w:rsidRPr="00614FC9">
        <w:rPr>
          <w:rFonts w:ascii="Palatino Linotype" w:eastAsia="Palatino Linotype" w:hAnsi="Palatino Linotype" w:cs="Palatino Linotype"/>
          <w:color w:val="000000"/>
          <w:sz w:val="24"/>
          <w:szCs w:val="24"/>
        </w:rPr>
        <w:t xml:space="preserve">. Based on this design, all students completed a pretest before instructional treatment and a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afterward, allowing researchers to measure changes in learning outcomes. The notation for this design is as follows. </w:t>
      </w:r>
    </w:p>
    <w:p w14:paraId="385C4DC4" w14:textId="77777777" w:rsidR="000C5028" w:rsidRPr="00614FC9" w:rsidRDefault="000C5028" w:rsidP="000C5028">
      <w:pPr>
        <w:spacing w:line="276" w:lineRule="auto"/>
        <w:ind w:left="426" w:firstLine="142"/>
        <w:jc w:val="center"/>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O₁ – X – O₂</w:t>
      </w:r>
    </w:p>
    <w:p w14:paraId="4820338A" w14:textId="77777777" w:rsidR="000C5028" w:rsidRPr="00614FC9" w:rsidRDefault="000C5028" w:rsidP="000C5028">
      <w:pPr>
        <w:spacing w:line="276" w:lineRule="auto"/>
        <w:ind w:left="426" w:firstLine="142"/>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Description:</w:t>
      </w:r>
    </w:p>
    <w:p w14:paraId="16661F16" w14:textId="77777777" w:rsidR="000C5028" w:rsidRPr="00614FC9" w:rsidRDefault="000C5028" w:rsidP="000C5028">
      <w:pPr>
        <w:spacing w:line="276" w:lineRule="auto"/>
        <w:ind w:left="426" w:firstLine="142"/>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O1</w:t>
      </w:r>
      <w:r>
        <w:rPr>
          <w:rFonts w:ascii="Palatino Linotype" w:eastAsia="Palatino Linotype" w:hAnsi="Palatino Linotype" w:cs="Palatino Linotype"/>
          <w:color w:val="000000"/>
          <w:sz w:val="24"/>
          <w:szCs w:val="24"/>
        </w:rPr>
        <w:tab/>
      </w:r>
      <w:r w:rsidRPr="00614FC9">
        <w:rPr>
          <w:rFonts w:ascii="Palatino Linotype" w:eastAsia="Palatino Linotype" w:hAnsi="Palatino Linotype" w:cs="Palatino Linotype"/>
          <w:color w:val="000000"/>
          <w:sz w:val="24"/>
          <w:szCs w:val="24"/>
        </w:rPr>
        <w:t xml:space="preserve">: Pretest </w:t>
      </w:r>
    </w:p>
    <w:p w14:paraId="66C33C52" w14:textId="77777777" w:rsidR="000C5028" w:rsidRPr="00614FC9" w:rsidRDefault="000C5028" w:rsidP="000C5028">
      <w:pPr>
        <w:spacing w:line="276" w:lineRule="auto"/>
        <w:ind w:left="426" w:firstLine="142"/>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X</w:t>
      </w:r>
      <w:r>
        <w:rPr>
          <w:rFonts w:ascii="Palatino Linotype" w:eastAsia="Palatino Linotype" w:hAnsi="Palatino Linotype" w:cs="Palatino Linotype"/>
          <w:color w:val="000000"/>
          <w:sz w:val="24"/>
          <w:szCs w:val="24"/>
        </w:rPr>
        <w:tab/>
      </w:r>
      <w:r w:rsidRPr="00614FC9">
        <w:rPr>
          <w:rFonts w:ascii="Palatino Linotype" w:eastAsia="Palatino Linotype" w:hAnsi="Palatino Linotype" w:cs="Palatino Linotype"/>
          <w:color w:val="000000"/>
          <w:sz w:val="24"/>
          <w:szCs w:val="24"/>
        </w:rPr>
        <w:t>: implementation of the TPS model in the Correlation Analysis material</w:t>
      </w:r>
    </w:p>
    <w:p w14:paraId="6AEE11DE" w14:textId="77777777" w:rsidR="000C5028" w:rsidRPr="00614FC9" w:rsidRDefault="000C5028" w:rsidP="000C5028">
      <w:pPr>
        <w:spacing w:line="276" w:lineRule="auto"/>
        <w:ind w:left="426" w:firstLine="142"/>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O1</w:t>
      </w:r>
      <w:r>
        <w:rPr>
          <w:rFonts w:ascii="Palatino Linotype" w:eastAsia="Palatino Linotype" w:hAnsi="Palatino Linotype" w:cs="Palatino Linotype"/>
          <w:color w:val="000000"/>
          <w:sz w:val="24"/>
          <w:szCs w:val="24"/>
        </w:rPr>
        <w:tab/>
      </w:r>
      <w:r w:rsidRPr="00614FC9">
        <w:rPr>
          <w:rFonts w:ascii="Palatino Linotype" w:eastAsia="Palatino Linotype" w:hAnsi="Palatino Linotype" w:cs="Palatino Linotype"/>
          <w:color w:val="000000"/>
          <w:sz w:val="24"/>
          <w:szCs w:val="24"/>
        </w:rPr>
        <w:t xml:space="preserve">: </w:t>
      </w:r>
      <w:proofErr w:type="spellStart"/>
      <w:r w:rsidRPr="00614FC9">
        <w:rPr>
          <w:rFonts w:ascii="Palatino Linotype" w:eastAsia="Palatino Linotype" w:hAnsi="Palatino Linotype" w:cs="Palatino Linotype"/>
          <w:color w:val="000000"/>
          <w:sz w:val="24"/>
          <w:szCs w:val="24"/>
        </w:rPr>
        <w:t>Posttest</w:t>
      </w:r>
      <w:proofErr w:type="spellEnd"/>
    </w:p>
    <w:p w14:paraId="4A306A0F" w14:textId="78CBDAD3" w:rsidR="000C5028" w:rsidRPr="00614FC9"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However, this design has methodological limitations that need to be considered. According to the pre-experimental design, neither the control group nor randomization involved, so the level of control over the external variables was relatively low and implicated in weak internal validity. This condition causes changes in learning outcomes that cannot be fully attributed to the treatment given, but have the potential to be influenced by other factors outside of the treatment </w:t>
      </w:r>
      <w:sdt>
        <w:sdtPr>
          <w:rPr>
            <w:rFonts w:ascii="Palatino Linotype" w:eastAsia="Palatino Linotype" w:hAnsi="Palatino Linotype" w:cs="Palatino Linotype"/>
            <w:color w:val="000000"/>
            <w:sz w:val="24"/>
            <w:szCs w:val="24"/>
          </w:rPr>
          <w:tag w:val="MENDELEY_CITATION_v3_eyJjaXRhdGlvbklEIjoiTUVOREVMRVlfQ0lUQVRJT05fNzdjNTkyZmItMGFhZS00NWYzLWI2MjItOGFiNmVlZTY5ZGZj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
          <w:id w:val="-2108486366"/>
          <w:placeholder>
            <w:docPart w:val="1E5D74CF7865481C81A8F7936916AB55"/>
          </w:placeholder>
        </w:sdtPr>
        <w:sdtContent>
          <w:r w:rsidR="0078405D" w:rsidRPr="0078405D">
            <w:rPr>
              <w:rFonts w:ascii="Palatino Linotype" w:eastAsia="Palatino Linotype" w:hAnsi="Palatino Linotype" w:cs="Palatino Linotype"/>
              <w:color w:val="000000"/>
              <w:sz w:val="24"/>
              <w:szCs w:val="24"/>
            </w:rPr>
            <w:t>[17]</w:t>
          </w:r>
        </w:sdtContent>
      </w:sdt>
      <w:r>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t>Theoretically, this design is also vulnerable to various internal validity threats such as history, maturation, testing effect, and regression to the mean. Therefore, the interpretation of the results of the study should be done carefully and not directly concluded as a strong causal relationship.</w:t>
      </w:r>
    </w:p>
    <w:p w14:paraId="3E619764" w14:textId="170FAF5C"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research participants consisted of 35 students in class XI-2 at SMAN 4 </w:t>
      </w:r>
      <w:proofErr w:type="spellStart"/>
      <w:r w:rsidRPr="00614FC9">
        <w:rPr>
          <w:rFonts w:ascii="Palatino Linotype" w:eastAsia="Palatino Linotype" w:hAnsi="Palatino Linotype" w:cs="Palatino Linotype"/>
          <w:color w:val="000000"/>
          <w:sz w:val="24"/>
          <w:szCs w:val="24"/>
        </w:rPr>
        <w:t>Jember</w:t>
      </w:r>
      <w:proofErr w:type="spellEnd"/>
      <w:r w:rsidRPr="00614FC9">
        <w:rPr>
          <w:rFonts w:ascii="Palatino Linotype" w:eastAsia="Palatino Linotype" w:hAnsi="Palatino Linotype" w:cs="Palatino Linotype"/>
          <w:color w:val="000000"/>
          <w:sz w:val="24"/>
          <w:szCs w:val="24"/>
        </w:rPr>
        <w:t>. This class was selected through purposive sampling techniques, which are sample determination techniques based on certain considerations relevant to the research objectives. The selection of classes is based on several reasons, including, (1) the class has reached the curriculum stage that contains Correlation Analysis material so that it is in accordance with the needs of the research, (2) the characteristics of homogeneous and representative students to observe the application of the Think Pair Share cooperative learning model (TPS), and (3) ease of access to researchers because the research is carried out at the location of the teaching assistant, so that data collection can be carried out optimally and controlled</w:t>
      </w:r>
      <w:r>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MjNiYmJkMzAtNjFjYi00Yjk4LTg0ZjUtOGE0ZTExNDQ3MGRj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
          <w:id w:val="-546216302"/>
          <w:placeholder>
            <w:docPart w:val="1E5D74CF7865481C81A8F7936916AB55"/>
          </w:placeholder>
        </w:sdtPr>
        <w:sdtContent>
          <w:r w:rsidR="0078405D" w:rsidRPr="0078405D">
            <w:rPr>
              <w:rFonts w:ascii="Palatino Linotype" w:eastAsia="Palatino Linotype" w:hAnsi="Palatino Linotype" w:cs="Palatino Linotype"/>
              <w:color w:val="000000"/>
              <w:sz w:val="24"/>
              <w:szCs w:val="24"/>
            </w:rPr>
            <w:t>[17]</w:t>
          </w:r>
        </w:sdtContent>
      </w:sdt>
      <w:r w:rsidRPr="00614FC9">
        <w:rPr>
          <w:rFonts w:ascii="Palatino Linotype" w:eastAsia="Palatino Linotype" w:hAnsi="Palatino Linotype" w:cs="Palatino Linotype"/>
          <w:color w:val="000000"/>
          <w:sz w:val="24"/>
          <w:szCs w:val="24"/>
        </w:rPr>
        <w:t>.</w:t>
      </w:r>
    </w:p>
    <w:p w14:paraId="40F9BE48" w14:textId="6128E342"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This purposive sample selection is in line with the opinion that purposive sampling is carried out by selecting individuals or research locations that are considered the most capable of providing relevant information to the research problem</w:t>
      </w:r>
      <w:r>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ZjhhMjUxOTgtMjRjMC00YjcwLWI5OTEtMWIxY2JmZGYwNjU3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
          <w:id w:val="-1603327891"/>
          <w:placeholder>
            <w:docPart w:val="45D05C8DEE8A441196DF97DCA6F75A80"/>
          </w:placeholder>
        </w:sdtPr>
        <w:sdtContent>
          <w:r w:rsidR="0078405D" w:rsidRPr="0078405D">
            <w:rPr>
              <w:rFonts w:ascii="Palatino Linotype" w:eastAsia="Palatino Linotype" w:hAnsi="Palatino Linotype" w:cs="Palatino Linotype"/>
              <w:color w:val="000000"/>
              <w:sz w:val="24"/>
              <w:szCs w:val="24"/>
            </w:rPr>
            <w:t>[17]</w:t>
          </w:r>
        </w:sdtContent>
      </w:sdt>
      <w:r w:rsidRPr="00614FC9">
        <w:rPr>
          <w:rFonts w:ascii="Palatino Linotype" w:eastAsia="Palatino Linotype" w:hAnsi="Palatino Linotype" w:cs="Palatino Linotype"/>
          <w:color w:val="000000"/>
          <w:sz w:val="24"/>
          <w:szCs w:val="24"/>
        </w:rPr>
        <w:t xml:space="preserve">. In addition, this technique allows researchers to obtain samples that </w:t>
      </w:r>
      <w:r w:rsidRPr="00614FC9">
        <w:rPr>
          <w:rFonts w:ascii="Palatino Linotype" w:eastAsia="Palatino Linotype" w:hAnsi="Palatino Linotype" w:cs="Palatino Linotype"/>
          <w:color w:val="000000"/>
          <w:sz w:val="24"/>
          <w:szCs w:val="24"/>
        </w:rPr>
        <w:lastRenderedPageBreak/>
        <w:t xml:space="preserve">have special characteristics in accordance with the research objectives, so that the data obtained becomes more meaningful and in accordance with the needs of the analysis </w:t>
      </w:r>
      <w:sdt>
        <w:sdtPr>
          <w:rPr>
            <w:rFonts w:ascii="Palatino Linotype" w:eastAsia="Palatino Linotype" w:hAnsi="Palatino Linotype" w:cs="Palatino Linotype"/>
            <w:color w:val="000000"/>
            <w:sz w:val="24"/>
            <w:szCs w:val="24"/>
          </w:rPr>
          <w:tag w:val="MENDELEY_CITATION_v3_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"/>
          <w:id w:val="32318184"/>
          <w:placeholder>
            <w:docPart w:val="1E5D74CF7865481C81A8F7936916AB55"/>
          </w:placeholder>
        </w:sdtPr>
        <w:sdtContent>
          <w:r w:rsidR="0078405D" w:rsidRPr="0078405D">
            <w:rPr>
              <w:rFonts w:ascii="Palatino Linotype" w:eastAsia="Palatino Linotype" w:hAnsi="Palatino Linotype" w:cs="Palatino Linotype"/>
              <w:color w:val="000000"/>
              <w:sz w:val="24"/>
              <w:szCs w:val="24"/>
            </w:rPr>
            <w:t>[16]</w:t>
          </w:r>
        </w:sdtContent>
      </w:sdt>
      <w:r w:rsidRPr="00614FC9">
        <w:rPr>
          <w:rFonts w:ascii="Palatino Linotype" w:eastAsia="Palatino Linotype" w:hAnsi="Palatino Linotype" w:cs="Palatino Linotype"/>
          <w:color w:val="000000"/>
          <w:sz w:val="24"/>
          <w:szCs w:val="24"/>
        </w:rPr>
        <w:t>.</w:t>
      </w:r>
    </w:p>
    <w:p w14:paraId="480599A9" w14:textId="77777777"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The research process is carried out in three stages. The preparation stage includes curriculum analysis of Correlation Analysis material, preparation of lesson plans based on the Think Pair Share model, and instrument validation. The implementation stage began with a pretest, then continued with four learning meetings (2 × 45 minutes each). The first meeting discussed the basic concept of correlation and its types, the second meeting on the calculation of correlation coefficients, the third meeting on the interpretation of correlation results and the fourth meeting focused on solving contextual problems. The Think Pair Share (TPS) model at each meeting is systematically applied through three main stages. In the think</w:t>
      </w:r>
      <w:r>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t xml:space="preserve">stage, which lasts about 5 to 10 minutes, students first work on individual correlation problems to build initial understanding. Next, in the pair stage for 10 to 15 minutes, students discuss with their partners to compare, correct, and refine their answers. </w:t>
      </w:r>
    </w:p>
    <w:p w14:paraId="19E4C981" w14:textId="77777777"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last stage is a share that lasts for 15 to 20 minutes, where the student pairs present the results of their discussion in front of the class, then continue with clarification and reinforcement of concepts together. This stage is in line with the characteristics of TPS which emphasizes individual thinking, discussion in pairs, and classically sharing results. After all sessions are over, a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is carried out with a level of difficulty equivalent to the pretest. The final stage includes data analysis and reporting of research results.</w:t>
      </w:r>
    </w:p>
    <w:p w14:paraId="79131CEC" w14:textId="77777777"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assessment instrument used in this study is in the form of an essay test developed based on competency indicators in correlation analysis materials. Items include the ability to understand the concept of correlation, read and interpret scatter plots, calculate Pearson correlation coefficients, and draw conclusions about the strength and direction of relationships.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questions are designed with an equal level of difficulty. The validity of the instrument is carried out by the teacher of mathematics subject and has been declared valid in terms of content (content validity). </w:t>
      </w:r>
    </w:p>
    <w:p w14:paraId="37D0C5E9" w14:textId="77777777" w:rsid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results of the analysis showed that Cronbach's Alpha value was -0.244. The negative value is caused because the data </w:t>
      </w:r>
      <w:proofErr w:type="spellStart"/>
      <w:r w:rsidRPr="00614FC9">
        <w:rPr>
          <w:rFonts w:ascii="Palatino Linotype" w:eastAsia="Palatino Linotype" w:hAnsi="Palatino Linotype" w:cs="Palatino Linotype"/>
          <w:color w:val="000000"/>
          <w:sz w:val="24"/>
          <w:szCs w:val="24"/>
        </w:rPr>
        <w:t>analyzed</w:t>
      </w:r>
      <w:proofErr w:type="spellEnd"/>
      <w:r w:rsidRPr="00614FC9">
        <w:rPr>
          <w:rFonts w:ascii="Palatino Linotype" w:eastAsia="Palatino Linotype" w:hAnsi="Palatino Linotype" w:cs="Palatino Linotype"/>
          <w:color w:val="000000"/>
          <w:sz w:val="24"/>
          <w:szCs w:val="24"/>
        </w:rPr>
        <w:t xml:space="preserve"> is a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lastRenderedPageBreak/>
        <w:t>score which conceptually are not items in the same construct, but two different measurement times. Therefore, internal reliability tests such as Cronbach's Alpha are not appropriately used. Therefore, the analysis focused on comparing learning outcomes through the gain test and the difference test using the non-parametric Wilcoxon Signed-Rank Test to compare two paired data when the assumption of normality was not met</w:t>
      </w:r>
    </w:p>
    <w:p w14:paraId="147B4C67" w14:textId="38693987" w:rsidR="004B5F1B" w:rsidRPr="000C5028" w:rsidRDefault="000C5028" w:rsidP="000C5028">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Data analysis was carried out quantitatively through four stages. First, descriptive statistics that include mean values, standard deviations, minimums, maximums, ranges, amounts, and variances are calculated for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scores. Second, the normality test was performed using Shapiro–Wilk because the sample count was less than 50 (N = 35). Third, hypothesis testing was carried out using the Wilcoxon Signed-Rank Test through IBM SPSS Statistics 25 as a non-parametric alternative to the paired sample t-test for paired data because the data was not normally distributed (p &lt; 0.05), In addition, to determine the magnitude of the effect of the treatment, the effect size was calculated with the formula , where Z was obtained from the output SPSS and N are the sum of the samples. The use of effect measures is important because it not only shows statistical significance, but also provides information regarding the magnitude and practical significance of the effect of the treatment (Jackie, 1998). The </w:t>
      </w:r>
      <w:proofErr w:type="spellStart"/>
      <w:r w:rsidRPr="00614FC9">
        <w:rPr>
          <w:rFonts w:ascii="Palatino Linotype" w:eastAsia="Palatino Linotype" w:hAnsi="Palatino Linotype" w:cs="Palatino Linotype"/>
          <w:color w:val="000000"/>
          <w:sz w:val="24"/>
          <w:szCs w:val="24"/>
        </w:rPr>
        <w:t>r-value</w:t>
      </w:r>
      <w:proofErr w:type="spellEnd"/>
      <w:r w:rsidRPr="00614FC9">
        <w:rPr>
          <w:rFonts w:ascii="Palatino Linotype" w:eastAsia="Palatino Linotype" w:hAnsi="Palatino Linotype" w:cs="Palatino Linotype"/>
          <w:color w:val="000000"/>
          <w:sz w:val="24"/>
          <w:szCs w:val="24"/>
        </w:rPr>
        <w:t xml:space="preserve"> is interpreted as a small (≥ 0.10), medium (≥ 0.30), and large (≥ 0.50) effects. Fourth, the improvement in learning outcomes was </w:t>
      </w:r>
      <w:proofErr w:type="spellStart"/>
      <w:r w:rsidRPr="00614FC9">
        <w:rPr>
          <w:rFonts w:ascii="Palatino Linotype" w:eastAsia="Palatino Linotype" w:hAnsi="Palatino Linotype" w:cs="Palatino Linotype"/>
          <w:color w:val="000000"/>
          <w:sz w:val="24"/>
          <w:szCs w:val="24"/>
        </w:rPr>
        <w:t>analyzed</w:t>
      </w:r>
      <w:proofErr w:type="spellEnd"/>
      <w:r w:rsidRPr="00614FC9">
        <w:rPr>
          <w:rFonts w:ascii="Palatino Linotype" w:eastAsia="Palatino Linotype" w:hAnsi="Palatino Linotype" w:cs="Palatino Linotype"/>
          <w:color w:val="000000"/>
          <w:sz w:val="24"/>
          <w:szCs w:val="24"/>
        </w:rPr>
        <w:t xml:space="preserve"> using an N-Gain score based on the formula, namely with the categories of high (g ≥ 0.7), medium (0.3 ≤ g &lt; 0.7), and low (g &lt; 0.3). All analyses were conducted using IBM SPSS Statistics version 25.</w:t>
      </w:r>
      <w:r>
        <w:rPr>
          <w:rFonts w:ascii="Palatino Linotype" w:eastAsia="Palatino Linotype" w:hAnsi="Palatino Linotype" w:cs="Palatino Linotype"/>
          <w:color w:val="000000"/>
          <w:sz w:val="24"/>
          <w:szCs w:val="24"/>
        </w:rPr>
        <w:t>e.</w:t>
      </w:r>
    </w:p>
    <w:p w14:paraId="592EC2B7" w14:textId="4EB59060" w:rsidR="004B5F1B" w:rsidRDefault="004B5F1B" w:rsidP="004B5F1B">
      <w:pPr>
        <w:spacing w:after="120" w:line="276" w:lineRule="auto"/>
      </w:pPr>
      <w:r>
        <w:rPr>
          <w:rFonts w:ascii="Palatino Linotype" w:eastAsia="Palatino Linotype" w:hAnsi="Palatino Linotype" w:cs="Palatino Linotype"/>
          <w:b/>
          <w:bCs/>
          <w:color w:val="000000"/>
          <w:sz w:val="24"/>
          <w:szCs w:val="24"/>
        </w:rPr>
        <w:t>III.</w:t>
      </w:r>
      <w:r>
        <w:rPr>
          <w:rFonts w:ascii="Palatino Linotype" w:eastAsia="Palatino Linotype" w:hAnsi="Palatino Linotype" w:cs="Palatino Linotype"/>
          <w:b/>
          <w:bCs/>
          <w:color w:val="000000"/>
          <w:sz w:val="24"/>
          <w:szCs w:val="24"/>
        </w:rPr>
        <w:tab/>
        <w:t>RESULT AND DISCUSSION</w:t>
      </w:r>
    </w:p>
    <w:p w14:paraId="339ADDDE"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This section presents the analysis of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 data from 35 students in grade XI-2, which were collected before and after the Think-Pair-Share (TPS) cooperative learning model was applied to the Correlation Analysis material. Data were examined through four analysis procedures: descriptive statistics, normality testing using Shapiro-Wilk, Wilcoxon-marked rating test, and N-Gain score calculation.</w:t>
      </w:r>
    </w:p>
    <w:p w14:paraId="573E6610" w14:textId="77777777" w:rsidR="000C5028" w:rsidRPr="00EE06FE" w:rsidRDefault="000C5028" w:rsidP="00C53DC2">
      <w:pPr>
        <w:spacing w:line="276" w:lineRule="auto"/>
        <w:ind w:left="426"/>
        <w:jc w:val="both"/>
        <w:rPr>
          <w:rFonts w:ascii="Palatino Linotype" w:eastAsia="Palatino Linotype" w:hAnsi="Palatino Linotype" w:cs="Palatino Linotype"/>
          <w:b/>
          <w:bCs/>
          <w:color w:val="000000"/>
          <w:sz w:val="24"/>
          <w:szCs w:val="24"/>
        </w:rPr>
      </w:pPr>
      <w:r w:rsidRPr="00EE06FE">
        <w:rPr>
          <w:rFonts w:ascii="Palatino Linotype" w:eastAsia="Palatino Linotype" w:hAnsi="Palatino Linotype" w:cs="Palatino Linotype"/>
          <w:b/>
          <w:bCs/>
          <w:color w:val="000000"/>
          <w:sz w:val="24"/>
          <w:szCs w:val="24"/>
        </w:rPr>
        <w:t>Descriptive Statistics</w:t>
      </w:r>
    </w:p>
    <w:p w14:paraId="0FDE5A8B"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lastRenderedPageBreak/>
        <w:t xml:space="preserve">Descriptive statistical analysis was carried out to provide an overview of the distribution of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scores. The results are presented in Table 1.</w:t>
      </w:r>
    </w:p>
    <w:p w14:paraId="349BF531" w14:textId="32B93F78" w:rsidR="000C5028" w:rsidRPr="001322C0" w:rsidRDefault="000C5028" w:rsidP="001322C0">
      <w:pPr>
        <w:spacing w:line="276" w:lineRule="auto"/>
        <w:jc w:val="center"/>
        <w:rPr>
          <w:rFonts w:ascii="Palatino Linotype" w:eastAsia="Palatino Linotype" w:hAnsi="Palatino Linotype" w:cs="Palatino Linotype"/>
          <w:color w:val="000000"/>
          <w:sz w:val="22"/>
          <w:szCs w:val="22"/>
        </w:rPr>
      </w:pPr>
      <w:r w:rsidRPr="001322C0">
        <w:rPr>
          <w:rFonts w:ascii="Palatino Linotype" w:eastAsia="Palatino Linotype" w:hAnsi="Palatino Linotype" w:cs="Palatino Linotype"/>
          <w:color w:val="000000"/>
          <w:sz w:val="22"/>
          <w:szCs w:val="22"/>
        </w:rPr>
        <w:t>Table 1</w:t>
      </w:r>
      <w:r w:rsidR="001322C0">
        <w:rPr>
          <w:rFonts w:ascii="Palatino Linotype" w:eastAsia="Palatino Linotype" w:hAnsi="Palatino Linotype" w:cs="Palatino Linotype"/>
          <w:color w:val="000000"/>
          <w:sz w:val="22"/>
          <w:szCs w:val="22"/>
        </w:rPr>
        <w:t xml:space="preserve">. </w:t>
      </w:r>
      <w:r w:rsidRPr="001322C0">
        <w:rPr>
          <w:rFonts w:ascii="Palatino Linotype" w:eastAsia="Palatino Linotype" w:hAnsi="Palatino Linotype" w:cs="Palatino Linotype"/>
          <w:color w:val="000000"/>
          <w:sz w:val="22"/>
          <w:szCs w:val="22"/>
        </w:rPr>
        <w:t xml:space="preserve">Descriptive Statistics of Pretest and </w:t>
      </w:r>
      <w:proofErr w:type="spellStart"/>
      <w:r w:rsidRPr="001322C0">
        <w:rPr>
          <w:rFonts w:ascii="Palatino Linotype" w:eastAsia="Palatino Linotype" w:hAnsi="Palatino Linotype" w:cs="Palatino Linotype"/>
          <w:color w:val="000000"/>
          <w:sz w:val="22"/>
          <w:szCs w:val="22"/>
        </w:rPr>
        <w:t>Posttest</w:t>
      </w:r>
      <w:proofErr w:type="spellEnd"/>
      <w:r w:rsidRPr="001322C0">
        <w:rPr>
          <w:rFonts w:ascii="Palatino Linotype" w:eastAsia="Palatino Linotype" w:hAnsi="Palatino Linotype" w:cs="Palatino Linotype"/>
          <w:color w:val="000000"/>
          <w:sz w:val="22"/>
          <w:szCs w:val="22"/>
        </w:rPr>
        <w:t xml:space="preserve"> Scores</w:t>
      </w:r>
    </w:p>
    <w:tbl>
      <w:tblPr>
        <w:tblStyle w:val="TableGrid"/>
        <w:tblW w:w="8646" w:type="dxa"/>
        <w:tblInd w:w="421" w:type="dxa"/>
        <w:tblLook w:val="04A0" w:firstRow="1" w:lastRow="0" w:firstColumn="1" w:lastColumn="0" w:noHBand="0" w:noVBand="1"/>
      </w:tblPr>
      <w:tblGrid>
        <w:gridCol w:w="999"/>
        <w:gridCol w:w="459"/>
        <w:gridCol w:w="950"/>
        <w:gridCol w:w="1059"/>
        <w:gridCol w:w="878"/>
        <w:gridCol w:w="1121"/>
        <w:gridCol w:w="985"/>
        <w:gridCol w:w="1086"/>
        <w:gridCol w:w="1109"/>
      </w:tblGrid>
      <w:tr w:rsidR="001322C0" w:rsidRPr="00382E5B" w14:paraId="5802535A" w14:textId="77777777" w:rsidTr="00CA05EB">
        <w:tc>
          <w:tcPr>
            <w:tcW w:w="1242" w:type="dxa"/>
            <w:shd w:val="clear" w:color="auto" w:fill="D9D9D9" w:themeFill="background1" w:themeFillShade="D9"/>
          </w:tcPr>
          <w:p w14:paraId="47D7D325" w14:textId="01EA6901" w:rsidR="001322C0" w:rsidRPr="00C53DC2" w:rsidRDefault="001322C0" w:rsidP="001322C0">
            <w:pPr>
              <w:jc w:val="center"/>
              <w:rPr>
                <w:rFonts w:ascii="Palatino Linotype" w:hAnsi="Palatino Linotype"/>
                <w:sz w:val="22"/>
                <w:szCs w:val="22"/>
              </w:rPr>
            </w:pPr>
          </w:p>
        </w:tc>
        <w:tc>
          <w:tcPr>
            <w:tcW w:w="490" w:type="dxa"/>
            <w:shd w:val="clear" w:color="auto" w:fill="D9D9D9" w:themeFill="background1" w:themeFillShade="D9"/>
          </w:tcPr>
          <w:p w14:paraId="3DCBFCD8" w14:textId="689C998B"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N</w:t>
            </w:r>
          </w:p>
        </w:tc>
        <w:tc>
          <w:tcPr>
            <w:tcW w:w="1084" w:type="dxa"/>
            <w:shd w:val="clear" w:color="auto" w:fill="D9D9D9" w:themeFill="background1" w:themeFillShade="D9"/>
          </w:tcPr>
          <w:p w14:paraId="55AFD278" w14:textId="5ABB5804"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Range</w:t>
            </w:r>
          </w:p>
        </w:tc>
        <w:tc>
          <w:tcPr>
            <w:tcW w:w="1059" w:type="dxa"/>
            <w:shd w:val="clear" w:color="auto" w:fill="D9D9D9" w:themeFill="background1" w:themeFillShade="D9"/>
          </w:tcPr>
          <w:p w14:paraId="552A23ED" w14:textId="602C6838"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Minutes</w:t>
            </w:r>
          </w:p>
        </w:tc>
        <w:tc>
          <w:tcPr>
            <w:tcW w:w="954" w:type="dxa"/>
            <w:shd w:val="clear" w:color="auto" w:fill="D9D9D9" w:themeFill="background1" w:themeFillShade="D9"/>
          </w:tcPr>
          <w:p w14:paraId="4CB12F3C" w14:textId="22A71339"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Max</w:t>
            </w:r>
          </w:p>
        </w:tc>
        <w:tc>
          <w:tcPr>
            <w:tcW w:w="1121" w:type="dxa"/>
            <w:shd w:val="clear" w:color="auto" w:fill="D9D9D9" w:themeFill="background1" w:themeFillShade="D9"/>
          </w:tcPr>
          <w:p w14:paraId="446DFF77" w14:textId="7E99343D"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Quantity</w:t>
            </w:r>
          </w:p>
        </w:tc>
        <w:tc>
          <w:tcPr>
            <w:tcW w:w="1058" w:type="dxa"/>
            <w:shd w:val="clear" w:color="auto" w:fill="D9D9D9" w:themeFill="background1" w:themeFillShade="D9"/>
          </w:tcPr>
          <w:p w14:paraId="4AEE5CEF" w14:textId="567613C0"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Means</w:t>
            </w:r>
          </w:p>
        </w:tc>
        <w:tc>
          <w:tcPr>
            <w:tcW w:w="1146" w:type="dxa"/>
            <w:shd w:val="clear" w:color="auto" w:fill="D9D9D9" w:themeFill="background1" w:themeFillShade="D9"/>
          </w:tcPr>
          <w:p w14:paraId="35701B76" w14:textId="0AE095E1"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Std. Dev.</w:t>
            </w:r>
          </w:p>
        </w:tc>
        <w:tc>
          <w:tcPr>
            <w:tcW w:w="492" w:type="dxa"/>
            <w:shd w:val="clear" w:color="auto" w:fill="D9D9D9" w:themeFill="background1" w:themeFillShade="D9"/>
          </w:tcPr>
          <w:p w14:paraId="28DA4128" w14:textId="64E28625" w:rsidR="001322C0" w:rsidRPr="00C53DC2" w:rsidRDefault="001322C0" w:rsidP="001322C0">
            <w:pPr>
              <w:jc w:val="center"/>
              <w:rPr>
                <w:rFonts w:ascii="Palatino Linotype" w:hAnsi="Palatino Linotype"/>
                <w:sz w:val="22"/>
                <w:szCs w:val="22"/>
              </w:rPr>
            </w:pPr>
            <w:r w:rsidRPr="00C53DC2">
              <w:rPr>
                <w:rFonts w:ascii="Palatino Linotype" w:hAnsi="Palatino Linotype"/>
                <w:b/>
                <w:bCs/>
                <w:sz w:val="22"/>
                <w:szCs w:val="22"/>
              </w:rPr>
              <w:t>Variance</w:t>
            </w:r>
          </w:p>
        </w:tc>
      </w:tr>
      <w:tr w:rsidR="001322C0" w:rsidRPr="00382E5B" w14:paraId="2BE52B82" w14:textId="77777777" w:rsidTr="00CA05EB">
        <w:tc>
          <w:tcPr>
            <w:tcW w:w="1242" w:type="dxa"/>
          </w:tcPr>
          <w:p w14:paraId="77585818" w14:textId="04244C65"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Prates</w:t>
            </w:r>
          </w:p>
        </w:tc>
        <w:tc>
          <w:tcPr>
            <w:tcW w:w="490" w:type="dxa"/>
          </w:tcPr>
          <w:p w14:paraId="13387F62" w14:textId="7F935F48"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35</w:t>
            </w:r>
          </w:p>
        </w:tc>
        <w:tc>
          <w:tcPr>
            <w:tcW w:w="1084" w:type="dxa"/>
          </w:tcPr>
          <w:p w14:paraId="797B81BA" w14:textId="53BB4DE2"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42.00</w:t>
            </w:r>
          </w:p>
        </w:tc>
        <w:tc>
          <w:tcPr>
            <w:tcW w:w="1059" w:type="dxa"/>
          </w:tcPr>
          <w:p w14:paraId="122CC671" w14:textId="53A7B356"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0</w:t>
            </w:r>
          </w:p>
        </w:tc>
        <w:tc>
          <w:tcPr>
            <w:tcW w:w="954" w:type="dxa"/>
          </w:tcPr>
          <w:p w14:paraId="5AC598EB" w14:textId="6397DB15"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42.00</w:t>
            </w:r>
          </w:p>
        </w:tc>
        <w:tc>
          <w:tcPr>
            <w:tcW w:w="1121" w:type="dxa"/>
          </w:tcPr>
          <w:p w14:paraId="69884E3A" w14:textId="53BCA399"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569</w:t>
            </w:r>
          </w:p>
        </w:tc>
        <w:tc>
          <w:tcPr>
            <w:tcW w:w="1058" w:type="dxa"/>
          </w:tcPr>
          <w:p w14:paraId="2D2E05A0" w14:textId="06DCFECD"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16.2571</w:t>
            </w:r>
          </w:p>
        </w:tc>
        <w:tc>
          <w:tcPr>
            <w:tcW w:w="1146" w:type="dxa"/>
          </w:tcPr>
          <w:p w14:paraId="599A9CF2" w14:textId="6727A642"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9.13411</w:t>
            </w:r>
          </w:p>
        </w:tc>
        <w:tc>
          <w:tcPr>
            <w:tcW w:w="492" w:type="dxa"/>
          </w:tcPr>
          <w:p w14:paraId="1B83D73E" w14:textId="77221D1F"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83.432</w:t>
            </w:r>
          </w:p>
        </w:tc>
      </w:tr>
      <w:tr w:rsidR="001322C0" w:rsidRPr="00382E5B" w14:paraId="3117474E" w14:textId="77777777" w:rsidTr="00CA05EB">
        <w:tc>
          <w:tcPr>
            <w:tcW w:w="1242" w:type="dxa"/>
          </w:tcPr>
          <w:p w14:paraId="6C4489E5"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Post-tests</w:t>
            </w:r>
          </w:p>
        </w:tc>
        <w:tc>
          <w:tcPr>
            <w:tcW w:w="490" w:type="dxa"/>
          </w:tcPr>
          <w:p w14:paraId="1C6B0D1B"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35</w:t>
            </w:r>
          </w:p>
        </w:tc>
        <w:tc>
          <w:tcPr>
            <w:tcW w:w="1084" w:type="dxa"/>
          </w:tcPr>
          <w:p w14:paraId="51E28279"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60.00</w:t>
            </w:r>
          </w:p>
        </w:tc>
        <w:tc>
          <w:tcPr>
            <w:tcW w:w="1059" w:type="dxa"/>
          </w:tcPr>
          <w:p w14:paraId="79B4489A"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40.00</w:t>
            </w:r>
          </w:p>
        </w:tc>
        <w:tc>
          <w:tcPr>
            <w:tcW w:w="954" w:type="dxa"/>
          </w:tcPr>
          <w:p w14:paraId="14522453"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100.00</w:t>
            </w:r>
          </w:p>
        </w:tc>
        <w:tc>
          <w:tcPr>
            <w:tcW w:w="1121" w:type="dxa"/>
          </w:tcPr>
          <w:p w14:paraId="2E4838AE"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3053</w:t>
            </w:r>
          </w:p>
        </w:tc>
        <w:tc>
          <w:tcPr>
            <w:tcW w:w="1058" w:type="dxa"/>
          </w:tcPr>
          <w:p w14:paraId="23B32B5A"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87.2286</w:t>
            </w:r>
          </w:p>
        </w:tc>
        <w:tc>
          <w:tcPr>
            <w:tcW w:w="1146" w:type="dxa"/>
          </w:tcPr>
          <w:p w14:paraId="2B92E1C1"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13.20001</w:t>
            </w:r>
          </w:p>
        </w:tc>
        <w:tc>
          <w:tcPr>
            <w:tcW w:w="492" w:type="dxa"/>
          </w:tcPr>
          <w:p w14:paraId="3CEB7C95" w14:textId="77777777" w:rsidR="001322C0" w:rsidRPr="00C53DC2" w:rsidRDefault="001322C0" w:rsidP="001322C0">
            <w:pPr>
              <w:jc w:val="center"/>
              <w:rPr>
                <w:rFonts w:ascii="Palatino Linotype" w:hAnsi="Palatino Linotype"/>
                <w:sz w:val="22"/>
                <w:szCs w:val="22"/>
              </w:rPr>
            </w:pPr>
            <w:r w:rsidRPr="00C53DC2">
              <w:rPr>
                <w:rFonts w:ascii="Palatino Linotype" w:hAnsi="Palatino Linotype"/>
                <w:sz w:val="22"/>
                <w:szCs w:val="22"/>
              </w:rPr>
              <w:t>174.240</w:t>
            </w:r>
          </w:p>
        </w:tc>
      </w:tr>
    </w:tbl>
    <w:p w14:paraId="4BDAC921"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Based on Table 1, the number of research subjects is 35 students. Descriptively, the average pretest  score was 16.2571 with a minimum value of 0 and a maximum of 42, and a standard deviation of 9.13411. This shows that students' initial abilities are still relatively low and the data dissemination is quite varied. After being given treatment, the average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 increased significantly to 87.2286 with a minimum score of 40 and a maximum of 100, as well as a standard deviation of 13.20001. This increase in average scores indicates a considerable change in ability after learning.</w:t>
      </w:r>
    </w:p>
    <w:p w14:paraId="2362E18A"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In addition, the range of scores also increased from 42 in the pretest to 60 in the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which indicates that the variation in student learning outcomes after the treatment became wider. Overall, the comparison between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scores shows a fairly high increase in student learning outcomes. Descriptively, this analysis only describes the condition of the data before and after treatment without drawing inferences, but can be an early indication of the influence of learning on improving student learning outcomes</w:t>
      </w:r>
    </w:p>
    <w:p w14:paraId="237329DA" w14:textId="77777777" w:rsidR="000C5028" w:rsidRPr="00C875EF" w:rsidRDefault="000C5028" w:rsidP="00C53DC2">
      <w:pPr>
        <w:spacing w:line="276" w:lineRule="auto"/>
        <w:ind w:left="426"/>
        <w:jc w:val="both"/>
        <w:rPr>
          <w:rFonts w:ascii="Palatino Linotype" w:eastAsia="Palatino Linotype" w:hAnsi="Palatino Linotype" w:cs="Palatino Linotype"/>
          <w:b/>
          <w:bCs/>
          <w:color w:val="000000"/>
          <w:sz w:val="24"/>
          <w:szCs w:val="24"/>
        </w:rPr>
      </w:pPr>
      <w:r w:rsidRPr="00C875EF">
        <w:rPr>
          <w:rFonts w:ascii="Palatino Linotype" w:eastAsia="Palatino Linotype" w:hAnsi="Palatino Linotype" w:cs="Palatino Linotype"/>
          <w:b/>
          <w:bCs/>
          <w:color w:val="000000"/>
          <w:sz w:val="24"/>
          <w:szCs w:val="24"/>
        </w:rPr>
        <w:t>Normality Test</w:t>
      </w:r>
    </w:p>
    <w:p w14:paraId="141944F3" w14:textId="77777777" w:rsidR="000C5028"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Before the hypothesis test is carried out, a prerequisite test is first carried out in the form of a normality test on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data. This normality test used the Shapiro–Wilk method because the sample count was less than 50 (n ≤ 50). The Shapiro–Wilk test aims to test whether the data is normally distributed with the zero (H₀) hypothesis stating that the data is normally distributed. The decision-making criterion is that if the significance value (Sig.) &gt; 0.05, then the data is distributed normally, while if Sig. ≤ 0.05, the data is not distributed normally.</w:t>
      </w:r>
    </w:p>
    <w:p w14:paraId="4C468F02" w14:textId="77777777" w:rsidR="00CA05EB" w:rsidRDefault="00CA05EB" w:rsidP="00C53DC2">
      <w:pPr>
        <w:spacing w:line="276" w:lineRule="auto"/>
        <w:ind w:left="426" w:firstLine="720"/>
        <w:jc w:val="both"/>
        <w:rPr>
          <w:rFonts w:ascii="Palatino Linotype" w:eastAsia="Palatino Linotype" w:hAnsi="Palatino Linotype" w:cs="Palatino Linotype"/>
          <w:color w:val="000000"/>
          <w:sz w:val="24"/>
          <w:szCs w:val="24"/>
        </w:rPr>
      </w:pPr>
    </w:p>
    <w:p w14:paraId="0E3624F9" w14:textId="77777777" w:rsidR="00CA05EB" w:rsidRPr="00614FC9" w:rsidRDefault="00CA05EB" w:rsidP="00C53DC2">
      <w:pPr>
        <w:spacing w:line="276" w:lineRule="auto"/>
        <w:ind w:left="426" w:firstLine="720"/>
        <w:jc w:val="both"/>
        <w:rPr>
          <w:rFonts w:ascii="Palatino Linotype" w:eastAsia="Palatino Linotype" w:hAnsi="Palatino Linotype" w:cs="Palatino Linotype"/>
          <w:color w:val="000000"/>
          <w:sz w:val="24"/>
          <w:szCs w:val="24"/>
        </w:rPr>
      </w:pPr>
    </w:p>
    <w:p w14:paraId="70A1B30F" w14:textId="6CB338C6" w:rsidR="000C5028" w:rsidRPr="00C53DC2" w:rsidRDefault="000C5028" w:rsidP="00C53DC2">
      <w:pPr>
        <w:spacing w:line="276" w:lineRule="auto"/>
        <w:jc w:val="center"/>
        <w:rPr>
          <w:rFonts w:ascii="Palatino Linotype" w:eastAsia="Palatino Linotype" w:hAnsi="Palatino Linotype" w:cs="Palatino Linotype"/>
          <w:color w:val="000000"/>
          <w:sz w:val="22"/>
          <w:szCs w:val="22"/>
        </w:rPr>
      </w:pPr>
      <w:r w:rsidRPr="00C53DC2">
        <w:rPr>
          <w:rFonts w:ascii="Palatino Linotype" w:eastAsia="Palatino Linotype" w:hAnsi="Palatino Linotype" w:cs="Palatino Linotype"/>
          <w:color w:val="000000"/>
          <w:sz w:val="22"/>
          <w:szCs w:val="22"/>
        </w:rPr>
        <w:lastRenderedPageBreak/>
        <w:t>Table 2</w:t>
      </w:r>
      <w:r w:rsidR="00C53DC2">
        <w:rPr>
          <w:rFonts w:ascii="Palatino Linotype" w:eastAsia="Palatino Linotype" w:hAnsi="Palatino Linotype" w:cs="Palatino Linotype"/>
          <w:color w:val="000000"/>
          <w:sz w:val="22"/>
          <w:szCs w:val="22"/>
        </w:rPr>
        <w:t xml:space="preserve">. </w:t>
      </w:r>
      <w:r w:rsidRPr="00C53DC2">
        <w:rPr>
          <w:rFonts w:ascii="Palatino Linotype" w:eastAsia="Palatino Linotype" w:hAnsi="Palatino Linotype" w:cs="Palatino Linotype"/>
          <w:color w:val="000000"/>
          <w:sz w:val="22"/>
          <w:szCs w:val="22"/>
        </w:rPr>
        <w:t>Shapiro-Wilk Normality Test Results</w:t>
      </w:r>
    </w:p>
    <w:tbl>
      <w:tblPr>
        <w:tblStyle w:val="TableGrid"/>
        <w:tblW w:w="8100" w:type="dxa"/>
        <w:tblInd w:w="456" w:type="dxa"/>
        <w:tblLook w:val="04A0" w:firstRow="1" w:lastRow="0" w:firstColumn="1" w:lastColumn="0" w:noHBand="0" w:noVBand="1"/>
      </w:tblPr>
      <w:tblGrid>
        <w:gridCol w:w="1800"/>
        <w:gridCol w:w="2100"/>
        <w:gridCol w:w="1800"/>
        <w:gridCol w:w="2400"/>
      </w:tblGrid>
      <w:tr w:rsidR="000C5028" w:rsidRPr="00382E5B" w14:paraId="2D3B9A6A" w14:textId="77777777" w:rsidTr="00C53DC2">
        <w:tc>
          <w:tcPr>
            <w:tcW w:w="1800" w:type="dxa"/>
            <w:shd w:val="clear" w:color="auto" w:fill="D9D9D9" w:themeFill="background1" w:themeFillShade="D9"/>
          </w:tcPr>
          <w:p w14:paraId="065F4169" w14:textId="77777777" w:rsidR="000C5028" w:rsidRPr="00C53DC2" w:rsidRDefault="000C5028" w:rsidP="009D34BC">
            <w:pPr>
              <w:jc w:val="center"/>
              <w:rPr>
                <w:rFonts w:ascii="Palatino Linotype" w:hAnsi="Palatino Linotype"/>
                <w:b/>
                <w:bCs/>
                <w:sz w:val="22"/>
                <w:szCs w:val="22"/>
              </w:rPr>
            </w:pPr>
          </w:p>
        </w:tc>
        <w:tc>
          <w:tcPr>
            <w:tcW w:w="2100" w:type="dxa"/>
            <w:shd w:val="clear" w:color="auto" w:fill="D9D9D9" w:themeFill="background1" w:themeFillShade="D9"/>
          </w:tcPr>
          <w:p w14:paraId="0F5D0F79"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Statistics (W)</w:t>
            </w:r>
          </w:p>
        </w:tc>
        <w:tc>
          <w:tcPr>
            <w:tcW w:w="1800" w:type="dxa"/>
            <w:shd w:val="clear" w:color="auto" w:fill="D9D9D9" w:themeFill="background1" w:themeFillShade="D9"/>
          </w:tcPr>
          <w:p w14:paraId="00273C86" w14:textId="77777777" w:rsidR="000C5028" w:rsidRPr="00C53DC2" w:rsidRDefault="000C5028" w:rsidP="009D34BC">
            <w:pPr>
              <w:jc w:val="center"/>
              <w:rPr>
                <w:rFonts w:ascii="Palatino Linotype" w:hAnsi="Palatino Linotype"/>
                <w:b/>
                <w:bCs/>
                <w:sz w:val="22"/>
                <w:szCs w:val="22"/>
              </w:rPr>
            </w:pPr>
            <w:proofErr w:type="spellStart"/>
            <w:r w:rsidRPr="00C53DC2">
              <w:rPr>
                <w:rFonts w:ascii="Palatino Linotype" w:hAnsi="Palatino Linotype"/>
                <w:b/>
                <w:bCs/>
                <w:sz w:val="22"/>
                <w:szCs w:val="22"/>
              </w:rPr>
              <w:t>df</w:t>
            </w:r>
            <w:proofErr w:type="spellEnd"/>
          </w:p>
        </w:tc>
        <w:tc>
          <w:tcPr>
            <w:tcW w:w="2400" w:type="dxa"/>
            <w:shd w:val="clear" w:color="auto" w:fill="D9D9D9" w:themeFill="background1" w:themeFillShade="D9"/>
          </w:tcPr>
          <w:p w14:paraId="7C49908E"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Sig.</w:t>
            </w:r>
          </w:p>
        </w:tc>
      </w:tr>
      <w:tr w:rsidR="000C5028" w:rsidRPr="00382E5B" w14:paraId="54E87F96" w14:textId="77777777" w:rsidTr="00C53DC2">
        <w:tc>
          <w:tcPr>
            <w:tcW w:w="1800" w:type="dxa"/>
          </w:tcPr>
          <w:p w14:paraId="629F9BEA"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Prates</w:t>
            </w:r>
          </w:p>
        </w:tc>
        <w:tc>
          <w:tcPr>
            <w:tcW w:w="2100" w:type="dxa"/>
          </w:tcPr>
          <w:p w14:paraId="202D3DD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0.920</w:t>
            </w:r>
          </w:p>
        </w:tc>
        <w:tc>
          <w:tcPr>
            <w:tcW w:w="1800" w:type="dxa"/>
          </w:tcPr>
          <w:p w14:paraId="02A964A7"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35</w:t>
            </w:r>
          </w:p>
        </w:tc>
        <w:tc>
          <w:tcPr>
            <w:tcW w:w="2400" w:type="dxa"/>
          </w:tcPr>
          <w:p w14:paraId="37871975"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0.014</w:t>
            </w:r>
          </w:p>
        </w:tc>
      </w:tr>
      <w:tr w:rsidR="000C5028" w:rsidRPr="00382E5B" w14:paraId="1166EB3F" w14:textId="77777777" w:rsidTr="00C53DC2">
        <w:tc>
          <w:tcPr>
            <w:tcW w:w="1800" w:type="dxa"/>
          </w:tcPr>
          <w:p w14:paraId="7673856A"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Post-tests</w:t>
            </w:r>
          </w:p>
        </w:tc>
        <w:tc>
          <w:tcPr>
            <w:tcW w:w="2100" w:type="dxa"/>
          </w:tcPr>
          <w:p w14:paraId="48D2313D"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0.825</w:t>
            </w:r>
          </w:p>
        </w:tc>
        <w:tc>
          <w:tcPr>
            <w:tcW w:w="1800" w:type="dxa"/>
          </w:tcPr>
          <w:p w14:paraId="42B7C335"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35</w:t>
            </w:r>
          </w:p>
        </w:tc>
        <w:tc>
          <w:tcPr>
            <w:tcW w:w="2400" w:type="dxa"/>
          </w:tcPr>
          <w:p w14:paraId="1EC89E20"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0.000</w:t>
            </w:r>
          </w:p>
        </w:tc>
      </w:tr>
    </w:tbl>
    <w:p w14:paraId="39B68B53"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Based on Table 2, the significance value for the pretest was 0.014 with a statistical value of W = 0.920, and for the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of 0.000 with a statistical value of W = 0.825. Both significance values are less than 0.05 (Sig. &lt; 0.05). This shows that H₀ is rejected, so it can be concluded that both the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data are not normally distributed. Thus, the assumption of normality in the analysis is not met. Because the data do not meet the assumption of normality, the advanced analysis cannot use parametric tests. Therefore, an alternative to non-parametric tests, namely the Wilcoxon test, is used, which is more suitable for data that is not normally distributed.</w:t>
      </w:r>
    </w:p>
    <w:p w14:paraId="2B0BB5BD" w14:textId="77777777" w:rsidR="000C5028" w:rsidRPr="00C875EF" w:rsidRDefault="000C5028" w:rsidP="00C53DC2">
      <w:pPr>
        <w:spacing w:line="276" w:lineRule="auto"/>
        <w:ind w:left="426"/>
        <w:jc w:val="both"/>
        <w:rPr>
          <w:rFonts w:ascii="Palatino Linotype" w:eastAsia="Palatino Linotype" w:hAnsi="Palatino Linotype" w:cs="Palatino Linotype"/>
          <w:b/>
          <w:bCs/>
          <w:color w:val="000000"/>
          <w:sz w:val="24"/>
          <w:szCs w:val="24"/>
        </w:rPr>
      </w:pPr>
      <w:r w:rsidRPr="00C875EF">
        <w:rPr>
          <w:rFonts w:ascii="Palatino Linotype" w:eastAsia="Palatino Linotype" w:hAnsi="Palatino Linotype" w:cs="Palatino Linotype"/>
          <w:b/>
          <w:bCs/>
          <w:color w:val="000000"/>
          <w:sz w:val="24"/>
          <w:szCs w:val="24"/>
        </w:rPr>
        <w:t xml:space="preserve">Wilcoxon Signed-Rank Test </w:t>
      </w:r>
    </w:p>
    <w:p w14:paraId="7B47CB2E"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After it was found that the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data were not normally distributed, the hypothesis test was carried out using a non-parametric test, namely the Wilcoxon Signed-Rank Test. This test is used to find out if there is a significant difference between the two paired data, especially in pre- and post-treatment conditions. The zero hypothesis (H₀) in this study states that there is no significant difference between the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results, while the alternative hypothesis (H₁) states that there is a significant difference between the two. The decision-making criterion is that if the significance value (</w:t>
      </w:r>
      <w:proofErr w:type="spellStart"/>
      <w:r w:rsidRPr="00614FC9">
        <w:rPr>
          <w:rFonts w:ascii="Palatino Linotype" w:eastAsia="Palatino Linotype" w:hAnsi="Palatino Linotype" w:cs="Palatino Linotype"/>
          <w:color w:val="000000"/>
          <w:sz w:val="24"/>
          <w:szCs w:val="24"/>
        </w:rPr>
        <w:t>Asymp</w:t>
      </w:r>
      <w:proofErr w:type="spellEnd"/>
      <w:r w:rsidRPr="00614FC9">
        <w:rPr>
          <w:rFonts w:ascii="Palatino Linotype" w:eastAsia="Palatino Linotype" w:hAnsi="Palatino Linotype" w:cs="Palatino Linotype"/>
          <w:color w:val="000000"/>
          <w:sz w:val="24"/>
          <w:szCs w:val="24"/>
        </w:rPr>
        <w:t>. Sig. 2-tailed) ≤ 0.05, then H₀ is rejected.</w:t>
      </w:r>
    </w:p>
    <w:p w14:paraId="242C1474" w14:textId="50AEAE04" w:rsidR="000C5028" w:rsidRPr="00C53DC2" w:rsidRDefault="000C5028" w:rsidP="00C53DC2">
      <w:pPr>
        <w:spacing w:line="276" w:lineRule="auto"/>
        <w:jc w:val="center"/>
        <w:rPr>
          <w:rFonts w:ascii="Palatino Linotype" w:eastAsia="Palatino Linotype" w:hAnsi="Palatino Linotype" w:cs="Palatino Linotype"/>
          <w:color w:val="000000"/>
          <w:sz w:val="22"/>
          <w:szCs w:val="22"/>
        </w:rPr>
      </w:pPr>
      <w:r w:rsidRPr="00C53DC2">
        <w:rPr>
          <w:rFonts w:ascii="Palatino Linotype" w:eastAsia="Palatino Linotype" w:hAnsi="Palatino Linotype" w:cs="Palatino Linotype"/>
          <w:color w:val="000000"/>
          <w:sz w:val="22"/>
          <w:szCs w:val="22"/>
        </w:rPr>
        <w:t>Table 3</w:t>
      </w:r>
      <w:r w:rsidR="00C53DC2">
        <w:rPr>
          <w:rFonts w:ascii="Palatino Linotype" w:eastAsia="Palatino Linotype" w:hAnsi="Palatino Linotype" w:cs="Palatino Linotype"/>
          <w:color w:val="000000"/>
          <w:sz w:val="22"/>
          <w:szCs w:val="22"/>
        </w:rPr>
        <w:t xml:space="preserve">. </w:t>
      </w:r>
      <w:r w:rsidRPr="00C53DC2">
        <w:rPr>
          <w:rFonts w:ascii="Palatino Linotype" w:eastAsia="Palatino Linotype" w:hAnsi="Palatino Linotype" w:cs="Palatino Linotype"/>
          <w:color w:val="000000"/>
          <w:sz w:val="22"/>
          <w:szCs w:val="22"/>
        </w:rPr>
        <w:t>Wilcoxon Signed-Rank Test Results</w:t>
      </w:r>
    </w:p>
    <w:tbl>
      <w:tblPr>
        <w:tblStyle w:val="TableGrid"/>
        <w:tblW w:w="7538" w:type="dxa"/>
        <w:tblInd w:w="738" w:type="dxa"/>
        <w:tblLook w:val="04A0" w:firstRow="1" w:lastRow="0" w:firstColumn="1" w:lastColumn="0" w:noHBand="0" w:noVBand="1"/>
      </w:tblPr>
      <w:tblGrid>
        <w:gridCol w:w="2138"/>
        <w:gridCol w:w="2700"/>
        <w:gridCol w:w="2700"/>
      </w:tblGrid>
      <w:tr w:rsidR="000C5028" w:rsidRPr="00382E5B" w14:paraId="57317301" w14:textId="77777777" w:rsidTr="00C53DC2">
        <w:tc>
          <w:tcPr>
            <w:tcW w:w="2138" w:type="dxa"/>
            <w:shd w:val="clear" w:color="auto" w:fill="D9D9D9" w:themeFill="background1" w:themeFillShade="D9"/>
          </w:tcPr>
          <w:p w14:paraId="4A19623C" w14:textId="77777777" w:rsidR="000C5028" w:rsidRPr="00C53DC2" w:rsidRDefault="000C5028" w:rsidP="009D34BC">
            <w:pPr>
              <w:jc w:val="center"/>
              <w:rPr>
                <w:rFonts w:ascii="Palatino Linotype" w:hAnsi="Palatino Linotype"/>
                <w:b/>
                <w:bCs/>
                <w:sz w:val="22"/>
                <w:szCs w:val="22"/>
              </w:rPr>
            </w:pPr>
          </w:p>
        </w:tc>
        <w:tc>
          <w:tcPr>
            <w:tcW w:w="2700" w:type="dxa"/>
            <w:shd w:val="clear" w:color="auto" w:fill="D9D9D9" w:themeFill="background1" w:themeFillShade="D9"/>
          </w:tcPr>
          <w:p w14:paraId="4ADA6533"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Test Statistics (W)</w:t>
            </w:r>
          </w:p>
        </w:tc>
        <w:tc>
          <w:tcPr>
            <w:tcW w:w="2700" w:type="dxa"/>
            <w:shd w:val="clear" w:color="auto" w:fill="D9D9D9" w:themeFill="background1" w:themeFillShade="D9"/>
          </w:tcPr>
          <w:p w14:paraId="3769215B" w14:textId="77777777" w:rsidR="000C5028" w:rsidRPr="00C53DC2" w:rsidRDefault="000C5028" w:rsidP="009D34BC">
            <w:pPr>
              <w:jc w:val="center"/>
              <w:rPr>
                <w:rFonts w:ascii="Palatino Linotype" w:hAnsi="Palatino Linotype"/>
                <w:b/>
                <w:bCs/>
                <w:sz w:val="22"/>
                <w:szCs w:val="22"/>
              </w:rPr>
            </w:pPr>
            <w:proofErr w:type="spellStart"/>
            <w:r w:rsidRPr="00C53DC2">
              <w:rPr>
                <w:rFonts w:ascii="Palatino Linotype" w:hAnsi="Palatino Linotype"/>
                <w:b/>
                <w:bCs/>
                <w:sz w:val="22"/>
                <w:szCs w:val="22"/>
              </w:rPr>
              <w:t>Asimpa</w:t>
            </w:r>
            <w:proofErr w:type="spellEnd"/>
            <w:r w:rsidRPr="00C53DC2">
              <w:rPr>
                <w:rFonts w:ascii="Palatino Linotype" w:hAnsi="Palatino Linotype"/>
                <w:b/>
                <w:bCs/>
                <w:sz w:val="22"/>
                <w:szCs w:val="22"/>
              </w:rPr>
              <w:t>. Sig. (2 tails)</w:t>
            </w:r>
          </w:p>
        </w:tc>
      </w:tr>
      <w:tr w:rsidR="000C5028" w:rsidRPr="00382E5B" w14:paraId="15B6F787" w14:textId="77777777" w:rsidTr="00C53DC2">
        <w:tc>
          <w:tcPr>
            <w:tcW w:w="2138" w:type="dxa"/>
          </w:tcPr>
          <w:p w14:paraId="1F15CA20" w14:textId="34B0AC61" w:rsidR="000C5028" w:rsidRPr="00C53DC2" w:rsidRDefault="000C5028" w:rsidP="009D34BC">
            <w:pPr>
              <w:jc w:val="center"/>
              <w:rPr>
                <w:rFonts w:ascii="Palatino Linotype" w:hAnsi="Palatino Linotype"/>
                <w:sz w:val="22"/>
                <w:szCs w:val="22"/>
              </w:rPr>
            </w:pPr>
            <w:proofErr w:type="spellStart"/>
            <w:r w:rsidRPr="00C53DC2">
              <w:rPr>
                <w:rFonts w:ascii="Palatino Linotype" w:hAnsi="Palatino Linotype"/>
                <w:sz w:val="22"/>
                <w:szCs w:val="22"/>
              </w:rPr>
              <w:t>Posttest</w:t>
            </w:r>
            <w:proofErr w:type="spellEnd"/>
            <w:r w:rsidRPr="00C53DC2">
              <w:rPr>
                <w:rFonts w:ascii="Palatino Linotype" w:hAnsi="Palatino Linotype"/>
                <w:sz w:val="22"/>
                <w:szCs w:val="22"/>
              </w:rPr>
              <w:t xml:space="preserve"> </w:t>
            </w:r>
            <w:r w:rsidR="00251FF4">
              <w:rPr>
                <w:rFonts w:ascii="Palatino Linotype" w:hAnsi="Palatino Linotype"/>
                <w:sz w:val="22"/>
                <w:szCs w:val="22"/>
              </w:rPr>
              <w:t>–</w:t>
            </w:r>
            <w:r w:rsidRPr="00C53DC2">
              <w:rPr>
                <w:rFonts w:ascii="Palatino Linotype" w:hAnsi="Palatino Linotype"/>
                <w:sz w:val="22"/>
                <w:szCs w:val="22"/>
              </w:rPr>
              <w:t xml:space="preserve"> Pretest</w:t>
            </w:r>
          </w:p>
        </w:tc>
        <w:tc>
          <w:tcPr>
            <w:tcW w:w="2700" w:type="dxa"/>
          </w:tcPr>
          <w:p w14:paraId="21F80285"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0.000</w:t>
            </w:r>
          </w:p>
        </w:tc>
        <w:tc>
          <w:tcPr>
            <w:tcW w:w="2700" w:type="dxa"/>
          </w:tcPr>
          <w:p w14:paraId="42857A70"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0.000</w:t>
            </w:r>
          </w:p>
        </w:tc>
      </w:tr>
    </w:tbl>
    <w:p w14:paraId="43BBC17F"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Based on Table 3, the </w:t>
      </w:r>
      <w:proofErr w:type="spellStart"/>
      <w:r w:rsidRPr="00614FC9">
        <w:rPr>
          <w:rFonts w:ascii="Palatino Linotype" w:eastAsia="Palatino Linotype" w:hAnsi="Palatino Linotype" w:cs="Palatino Linotype"/>
          <w:color w:val="000000"/>
          <w:sz w:val="24"/>
          <w:szCs w:val="24"/>
        </w:rPr>
        <w:t>Asymp</w:t>
      </w:r>
      <w:proofErr w:type="spellEnd"/>
      <w:r w:rsidRPr="00614FC9">
        <w:rPr>
          <w:rFonts w:ascii="Palatino Linotype" w:eastAsia="Palatino Linotype" w:hAnsi="Palatino Linotype" w:cs="Palatino Linotype"/>
          <w:color w:val="000000"/>
          <w:sz w:val="24"/>
          <w:szCs w:val="24"/>
        </w:rPr>
        <w:t xml:space="preserve">. Sig. (2-tailed) value of 0.000 is obtained, which is smaller than 0.05 (0.000 &lt; 0.05). Thus, H₀ is rejected and H₁ is accepted. This shows that there is a significant difference between pretest and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scores. A test statistical value (W) of 0.000 indicates that the differences between the data pairs tend to be consistent in one direction, thus reinforcing the changes that occur after the treatment. Conceptually, the test tests whether the median difference between two conditions is equal to Wilcoxon zero; When the significance value is below 0.05, it can be concluded that there is a noticeable </w:t>
      </w:r>
      <w:r w:rsidRPr="00614FC9">
        <w:rPr>
          <w:rFonts w:ascii="Palatino Linotype" w:eastAsia="Palatino Linotype" w:hAnsi="Palatino Linotype" w:cs="Palatino Linotype"/>
          <w:color w:val="000000"/>
          <w:sz w:val="24"/>
          <w:szCs w:val="24"/>
        </w:rPr>
        <w:lastRenderedPageBreak/>
        <w:t>change between the two conditions. Thus, the results of the analysis show that the treatment provided has a significant influence on improving student learning outcomes.</w:t>
      </w:r>
    </w:p>
    <w:p w14:paraId="14FB025A" w14:textId="77777777" w:rsidR="000C5028" w:rsidRPr="00C875EF" w:rsidRDefault="000C5028" w:rsidP="00C53DC2">
      <w:pPr>
        <w:spacing w:line="276" w:lineRule="auto"/>
        <w:ind w:left="426"/>
        <w:jc w:val="both"/>
        <w:rPr>
          <w:rFonts w:ascii="Palatino Linotype" w:eastAsia="Palatino Linotype" w:hAnsi="Palatino Linotype" w:cs="Palatino Linotype"/>
          <w:b/>
          <w:bCs/>
          <w:color w:val="000000"/>
          <w:sz w:val="24"/>
          <w:szCs w:val="24"/>
        </w:rPr>
      </w:pPr>
      <w:r w:rsidRPr="00C875EF">
        <w:rPr>
          <w:rFonts w:ascii="Palatino Linotype" w:eastAsia="Palatino Linotype" w:hAnsi="Palatino Linotype" w:cs="Palatino Linotype"/>
          <w:b/>
          <w:bCs/>
          <w:color w:val="000000"/>
          <w:sz w:val="24"/>
          <w:szCs w:val="24"/>
        </w:rPr>
        <w:t>N-Gain Score Analysis</w:t>
      </w:r>
    </w:p>
    <w:p w14:paraId="7C95E8AB"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Analysis using normalized gain (N-Gain). N-Gain is used to measure the magnitude of the score increase from pretest to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xml:space="preserve"> taking into account the maximum score that can be achieved. The interpretation of the N-Gain value refers to the Hake criteria, namely: g values ≥ 0.7 belong to the high category, 0.3 ≤ g &lt; 0.7 to the medium category, and g &lt; 0.3 to the low category. The results of the N-Gain analysis are descriptively presented in Table 4 and the categorical distribution in Table 5.</w:t>
      </w:r>
    </w:p>
    <w:p w14:paraId="4ABF9FC2" w14:textId="718EE2FC" w:rsidR="000C5028" w:rsidRPr="00C53DC2" w:rsidRDefault="000C5028" w:rsidP="00C53DC2">
      <w:pPr>
        <w:spacing w:line="276" w:lineRule="auto"/>
        <w:jc w:val="center"/>
        <w:rPr>
          <w:rFonts w:ascii="Palatino Linotype" w:eastAsia="Palatino Linotype" w:hAnsi="Palatino Linotype" w:cs="Palatino Linotype"/>
          <w:color w:val="000000"/>
          <w:sz w:val="22"/>
          <w:szCs w:val="22"/>
        </w:rPr>
      </w:pPr>
      <w:r w:rsidRPr="00C53DC2">
        <w:rPr>
          <w:rFonts w:ascii="Palatino Linotype" w:eastAsia="Palatino Linotype" w:hAnsi="Palatino Linotype" w:cs="Palatino Linotype"/>
          <w:color w:val="000000"/>
          <w:sz w:val="22"/>
          <w:szCs w:val="22"/>
        </w:rPr>
        <w:t>Table 4</w:t>
      </w:r>
      <w:r w:rsidR="00C53DC2">
        <w:rPr>
          <w:rFonts w:ascii="Palatino Linotype" w:eastAsia="Palatino Linotype" w:hAnsi="Palatino Linotype" w:cs="Palatino Linotype"/>
          <w:color w:val="000000"/>
          <w:sz w:val="22"/>
          <w:szCs w:val="22"/>
        </w:rPr>
        <w:t xml:space="preserve">. </w:t>
      </w:r>
      <w:r w:rsidRPr="00C53DC2">
        <w:rPr>
          <w:rFonts w:ascii="Palatino Linotype" w:eastAsia="Palatino Linotype" w:hAnsi="Palatino Linotype" w:cs="Palatino Linotype"/>
          <w:color w:val="000000"/>
          <w:sz w:val="22"/>
          <w:szCs w:val="22"/>
        </w:rPr>
        <w:t>Descriptive Statistics of N-Gain Score</w:t>
      </w:r>
    </w:p>
    <w:tbl>
      <w:tblPr>
        <w:tblStyle w:val="TableGrid"/>
        <w:tblW w:w="8100" w:type="dxa"/>
        <w:tblInd w:w="450" w:type="dxa"/>
        <w:tblLook w:val="04A0" w:firstRow="1" w:lastRow="0" w:firstColumn="1" w:lastColumn="0" w:noHBand="0" w:noVBand="1"/>
      </w:tblPr>
      <w:tblGrid>
        <w:gridCol w:w="1800"/>
        <w:gridCol w:w="1100"/>
        <w:gridCol w:w="1300"/>
        <w:gridCol w:w="1300"/>
        <w:gridCol w:w="1300"/>
        <w:gridCol w:w="1300"/>
      </w:tblGrid>
      <w:tr w:rsidR="000C5028" w:rsidRPr="00382E5B" w14:paraId="4DEAF8B6" w14:textId="77777777" w:rsidTr="00C53DC2">
        <w:tc>
          <w:tcPr>
            <w:tcW w:w="1800" w:type="dxa"/>
            <w:shd w:val="clear" w:color="auto" w:fill="D9D9D9" w:themeFill="background1" w:themeFillShade="D9"/>
          </w:tcPr>
          <w:p w14:paraId="3460AA26" w14:textId="77777777" w:rsidR="000C5028" w:rsidRPr="00C53DC2" w:rsidRDefault="000C5028" w:rsidP="009D34BC">
            <w:pPr>
              <w:jc w:val="center"/>
              <w:rPr>
                <w:rFonts w:ascii="Palatino Linotype" w:hAnsi="Palatino Linotype"/>
                <w:b/>
                <w:bCs/>
                <w:sz w:val="22"/>
                <w:szCs w:val="22"/>
              </w:rPr>
            </w:pPr>
          </w:p>
        </w:tc>
        <w:tc>
          <w:tcPr>
            <w:tcW w:w="1100" w:type="dxa"/>
            <w:shd w:val="clear" w:color="auto" w:fill="D9D9D9" w:themeFill="background1" w:themeFillShade="D9"/>
          </w:tcPr>
          <w:p w14:paraId="7B6C3105"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N</w:t>
            </w:r>
          </w:p>
        </w:tc>
        <w:tc>
          <w:tcPr>
            <w:tcW w:w="1300" w:type="dxa"/>
            <w:shd w:val="clear" w:color="auto" w:fill="D9D9D9" w:themeFill="background1" w:themeFillShade="D9"/>
          </w:tcPr>
          <w:p w14:paraId="00A17605"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Minimum</w:t>
            </w:r>
          </w:p>
        </w:tc>
        <w:tc>
          <w:tcPr>
            <w:tcW w:w="1300" w:type="dxa"/>
            <w:shd w:val="clear" w:color="auto" w:fill="D9D9D9" w:themeFill="background1" w:themeFillShade="D9"/>
          </w:tcPr>
          <w:p w14:paraId="4D395231"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Maximum</w:t>
            </w:r>
          </w:p>
        </w:tc>
        <w:tc>
          <w:tcPr>
            <w:tcW w:w="1300" w:type="dxa"/>
            <w:shd w:val="clear" w:color="auto" w:fill="D9D9D9" w:themeFill="background1" w:themeFillShade="D9"/>
          </w:tcPr>
          <w:p w14:paraId="2B12FA5E"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Means</w:t>
            </w:r>
          </w:p>
        </w:tc>
        <w:tc>
          <w:tcPr>
            <w:tcW w:w="1300" w:type="dxa"/>
            <w:shd w:val="clear" w:color="auto" w:fill="D9D9D9" w:themeFill="background1" w:themeFillShade="D9"/>
          </w:tcPr>
          <w:p w14:paraId="121BC1EA" w14:textId="77777777" w:rsidR="000C5028" w:rsidRPr="00C53DC2" w:rsidRDefault="000C5028" w:rsidP="009D34BC">
            <w:pPr>
              <w:jc w:val="center"/>
              <w:rPr>
                <w:rFonts w:ascii="Palatino Linotype" w:hAnsi="Palatino Linotype"/>
                <w:b/>
                <w:bCs/>
                <w:sz w:val="22"/>
                <w:szCs w:val="22"/>
              </w:rPr>
            </w:pPr>
            <w:r w:rsidRPr="00C53DC2">
              <w:rPr>
                <w:rFonts w:ascii="Palatino Linotype" w:hAnsi="Palatino Linotype"/>
                <w:b/>
                <w:bCs/>
                <w:sz w:val="22"/>
                <w:szCs w:val="22"/>
              </w:rPr>
              <w:t>Std. Dev.</w:t>
            </w:r>
          </w:p>
        </w:tc>
      </w:tr>
      <w:tr w:rsidR="000C5028" w:rsidRPr="00382E5B" w14:paraId="38C556BE" w14:textId="77777777" w:rsidTr="00C53DC2">
        <w:tc>
          <w:tcPr>
            <w:tcW w:w="1800" w:type="dxa"/>
          </w:tcPr>
          <w:p w14:paraId="4A543BA1"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N-Gain Score</w:t>
            </w:r>
          </w:p>
        </w:tc>
        <w:tc>
          <w:tcPr>
            <w:tcW w:w="1100" w:type="dxa"/>
          </w:tcPr>
          <w:p w14:paraId="1C805D57"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35</w:t>
            </w:r>
          </w:p>
        </w:tc>
        <w:tc>
          <w:tcPr>
            <w:tcW w:w="1300" w:type="dxa"/>
          </w:tcPr>
          <w:p w14:paraId="0389A1E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0.3182</w:t>
            </w:r>
          </w:p>
        </w:tc>
        <w:tc>
          <w:tcPr>
            <w:tcW w:w="1300" w:type="dxa"/>
          </w:tcPr>
          <w:p w14:paraId="5214155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1.0000</w:t>
            </w:r>
          </w:p>
        </w:tc>
        <w:tc>
          <w:tcPr>
            <w:tcW w:w="1300" w:type="dxa"/>
          </w:tcPr>
          <w:p w14:paraId="6782C9CC"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0.8429</w:t>
            </w:r>
          </w:p>
        </w:tc>
        <w:tc>
          <w:tcPr>
            <w:tcW w:w="1300" w:type="dxa"/>
          </w:tcPr>
          <w:p w14:paraId="1F847D3D"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0.16201</w:t>
            </w:r>
          </w:p>
        </w:tc>
      </w:tr>
    </w:tbl>
    <w:p w14:paraId="052DA99B"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Based on Table 4,</w:t>
      </w:r>
      <w:r>
        <w:rPr>
          <w:rFonts w:ascii="Palatino Linotype" w:eastAsia="Palatino Linotype" w:hAnsi="Palatino Linotype" w:cs="Palatino Linotype"/>
          <w:color w:val="000000"/>
          <w:sz w:val="24"/>
          <w:szCs w:val="24"/>
        </w:rPr>
        <w:t xml:space="preserve"> </w:t>
      </w:r>
      <w:r w:rsidRPr="00614FC9">
        <w:rPr>
          <w:rFonts w:ascii="Palatino Linotype" w:eastAsia="Palatino Linotype" w:hAnsi="Palatino Linotype" w:cs="Palatino Linotype"/>
          <w:color w:val="000000"/>
          <w:sz w:val="24"/>
          <w:szCs w:val="24"/>
        </w:rPr>
        <w:t>the average value (mean) of N-Gain is 0.8429, with a minimum value of 0.3182 and a maximum of 1.0000, as well as a standard deviation of 0.16201. The average N-Gain value of 0.8429 was in the high category (g ≥ 0.7). This shows that in general there is a high increase in student learning outcomes after being given treatment. In addition, a minimum score that is still above 0.3 indicates that all students have experienced minimal improvement in the medium category, even most of them reach the high category.</w:t>
      </w:r>
    </w:p>
    <w:p w14:paraId="493335BA" w14:textId="79FBC53D" w:rsidR="000C5028" w:rsidRPr="00C53DC2" w:rsidRDefault="000C5028" w:rsidP="009309E1">
      <w:pPr>
        <w:jc w:val="center"/>
        <w:rPr>
          <w:rFonts w:ascii="Palatino Linotype" w:eastAsia="Palatino Linotype" w:hAnsi="Palatino Linotype" w:cs="Palatino Linotype"/>
          <w:color w:val="000000"/>
          <w:sz w:val="22"/>
          <w:szCs w:val="22"/>
        </w:rPr>
      </w:pPr>
      <w:r w:rsidRPr="00C53DC2">
        <w:rPr>
          <w:rFonts w:ascii="Palatino Linotype" w:eastAsia="Palatino Linotype" w:hAnsi="Palatino Linotype" w:cs="Palatino Linotype"/>
          <w:color w:val="000000"/>
          <w:sz w:val="22"/>
          <w:szCs w:val="22"/>
        </w:rPr>
        <w:t>Table 5</w:t>
      </w:r>
      <w:r w:rsidR="00C53DC2">
        <w:rPr>
          <w:rFonts w:ascii="Palatino Linotype" w:eastAsia="Palatino Linotype" w:hAnsi="Palatino Linotype" w:cs="Palatino Linotype"/>
          <w:color w:val="000000"/>
          <w:sz w:val="22"/>
          <w:szCs w:val="22"/>
        </w:rPr>
        <w:t xml:space="preserve">. </w:t>
      </w:r>
      <w:r w:rsidRPr="00C53DC2">
        <w:rPr>
          <w:rFonts w:ascii="Palatino Linotype" w:eastAsia="Palatino Linotype" w:hAnsi="Palatino Linotype" w:cs="Palatino Linotype"/>
          <w:color w:val="000000"/>
          <w:sz w:val="22"/>
          <w:szCs w:val="22"/>
        </w:rPr>
        <w:t>Distribution of Students by N-Gain Category</w:t>
      </w:r>
    </w:p>
    <w:tbl>
      <w:tblPr>
        <w:tblStyle w:val="TableGrid"/>
        <w:tblW w:w="8100" w:type="dxa"/>
        <w:jc w:val="center"/>
        <w:tblLook w:val="04A0" w:firstRow="1" w:lastRow="0" w:firstColumn="1" w:lastColumn="0" w:noHBand="0" w:noVBand="1"/>
      </w:tblPr>
      <w:tblGrid>
        <w:gridCol w:w="2025"/>
        <w:gridCol w:w="2025"/>
        <w:gridCol w:w="2025"/>
        <w:gridCol w:w="2025"/>
      </w:tblGrid>
      <w:tr w:rsidR="000C5028" w:rsidRPr="00382E5B" w14:paraId="6A678880" w14:textId="77777777" w:rsidTr="009309E1">
        <w:trPr>
          <w:jc w:val="center"/>
        </w:trPr>
        <w:tc>
          <w:tcPr>
            <w:tcW w:w="2025" w:type="dxa"/>
            <w:shd w:val="clear" w:color="auto" w:fill="D9D9D9" w:themeFill="background1" w:themeFillShade="D9"/>
            <w:vAlign w:val="center"/>
          </w:tcPr>
          <w:p w14:paraId="4CA10C18" w14:textId="77777777" w:rsidR="000C5028" w:rsidRPr="00C53DC2" w:rsidRDefault="000C5028" w:rsidP="009309E1">
            <w:pPr>
              <w:jc w:val="center"/>
              <w:rPr>
                <w:rFonts w:ascii="Palatino Linotype" w:hAnsi="Palatino Linotype"/>
                <w:b/>
                <w:bCs/>
                <w:sz w:val="22"/>
                <w:szCs w:val="22"/>
              </w:rPr>
            </w:pPr>
            <w:r w:rsidRPr="00C53DC2">
              <w:rPr>
                <w:rFonts w:ascii="Palatino Linotype" w:hAnsi="Palatino Linotype"/>
                <w:b/>
                <w:bCs/>
                <w:sz w:val="22"/>
                <w:szCs w:val="22"/>
              </w:rPr>
              <w:t>Categories</w:t>
            </w:r>
          </w:p>
        </w:tc>
        <w:tc>
          <w:tcPr>
            <w:tcW w:w="2025" w:type="dxa"/>
            <w:shd w:val="clear" w:color="auto" w:fill="D9D9D9" w:themeFill="background1" w:themeFillShade="D9"/>
            <w:vAlign w:val="center"/>
          </w:tcPr>
          <w:p w14:paraId="5959C14B" w14:textId="77777777" w:rsidR="000C5028" w:rsidRPr="00C53DC2" w:rsidRDefault="000C5028" w:rsidP="009309E1">
            <w:pPr>
              <w:jc w:val="center"/>
              <w:rPr>
                <w:rFonts w:ascii="Palatino Linotype" w:hAnsi="Palatino Linotype"/>
                <w:b/>
                <w:bCs/>
                <w:sz w:val="22"/>
                <w:szCs w:val="22"/>
              </w:rPr>
            </w:pPr>
            <w:r w:rsidRPr="00C53DC2">
              <w:rPr>
                <w:rFonts w:ascii="Palatino Linotype" w:hAnsi="Palatino Linotype"/>
                <w:b/>
                <w:bCs/>
                <w:sz w:val="22"/>
                <w:szCs w:val="22"/>
              </w:rPr>
              <w:t>Criteria</w:t>
            </w:r>
          </w:p>
        </w:tc>
        <w:tc>
          <w:tcPr>
            <w:tcW w:w="2025" w:type="dxa"/>
            <w:shd w:val="clear" w:color="auto" w:fill="D9D9D9" w:themeFill="background1" w:themeFillShade="D9"/>
            <w:vAlign w:val="center"/>
          </w:tcPr>
          <w:p w14:paraId="63594C83" w14:textId="77777777" w:rsidR="000C5028" w:rsidRPr="00C53DC2" w:rsidRDefault="000C5028" w:rsidP="009309E1">
            <w:pPr>
              <w:jc w:val="center"/>
              <w:rPr>
                <w:rFonts w:ascii="Palatino Linotype" w:hAnsi="Palatino Linotype"/>
                <w:b/>
                <w:bCs/>
                <w:sz w:val="22"/>
                <w:szCs w:val="22"/>
              </w:rPr>
            </w:pPr>
            <w:r w:rsidRPr="00C53DC2">
              <w:rPr>
                <w:rFonts w:ascii="Palatino Linotype" w:hAnsi="Palatino Linotype"/>
                <w:b/>
                <w:bCs/>
                <w:sz w:val="22"/>
                <w:szCs w:val="22"/>
              </w:rPr>
              <w:t>Number of Students</w:t>
            </w:r>
          </w:p>
        </w:tc>
        <w:tc>
          <w:tcPr>
            <w:tcW w:w="2025" w:type="dxa"/>
            <w:shd w:val="clear" w:color="auto" w:fill="D9D9D9" w:themeFill="background1" w:themeFillShade="D9"/>
            <w:vAlign w:val="center"/>
          </w:tcPr>
          <w:p w14:paraId="73D91780" w14:textId="77777777" w:rsidR="000C5028" w:rsidRPr="00C53DC2" w:rsidRDefault="000C5028" w:rsidP="009309E1">
            <w:pPr>
              <w:jc w:val="center"/>
              <w:rPr>
                <w:rFonts w:ascii="Palatino Linotype" w:hAnsi="Palatino Linotype"/>
                <w:b/>
                <w:bCs/>
                <w:sz w:val="22"/>
                <w:szCs w:val="22"/>
              </w:rPr>
            </w:pPr>
            <w:r w:rsidRPr="00C53DC2">
              <w:rPr>
                <w:rFonts w:ascii="Palatino Linotype" w:hAnsi="Palatino Linotype"/>
                <w:b/>
                <w:bCs/>
                <w:sz w:val="22"/>
                <w:szCs w:val="22"/>
              </w:rPr>
              <w:t>Percentage (%)</w:t>
            </w:r>
          </w:p>
        </w:tc>
      </w:tr>
      <w:tr w:rsidR="000C5028" w:rsidRPr="00382E5B" w14:paraId="34EB4983" w14:textId="77777777" w:rsidTr="00C53DC2">
        <w:trPr>
          <w:jc w:val="center"/>
        </w:trPr>
        <w:tc>
          <w:tcPr>
            <w:tcW w:w="2025" w:type="dxa"/>
          </w:tcPr>
          <w:p w14:paraId="20EC9235"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Height</w:t>
            </w:r>
          </w:p>
        </w:tc>
        <w:tc>
          <w:tcPr>
            <w:tcW w:w="2025" w:type="dxa"/>
          </w:tcPr>
          <w:p w14:paraId="2EB1D0D3"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g 0.7</w:t>
            </w:r>
            <m:oMath>
              <m:r>
                <m:rPr>
                  <m:sty m:val="p"/>
                </m:rPr>
                <w:rPr>
                  <w:rFonts w:ascii="Cambria Math" w:hAnsi="Cambria Math"/>
                  <w:sz w:val="22"/>
                  <w:szCs w:val="22"/>
                </w:rPr>
                <m:t>≥</m:t>
              </m:r>
            </m:oMath>
          </w:p>
        </w:tc>
        <w:tc>
          <w:tcPr>
            <w:tcW w:w="2025" w:type="dxa"/>
          </w:tcPr>
          <w:p w14:paraId="76A4F2C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29</w:t>
            </w:r>
          </w:p>
        </w:tc>
        <w:tc>
          <w:tcPr>
            <w:tcW w:w="2025" w:type="dxa"/>
          </w:tcPr>
          <w:p w14:paraId="310200F3"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82.9%</w:t>
            </w:r>
          </w:p>
        </w:tc>
      </w:tr>
      <w:tr w:rsidR="000C5028" w:rsidRPr="00382E5B" w14:paraId="6856EBAD" w14:textId="77777777" w:rsidTr="00C53DC2">
        <w:trPr>
          <w:jc w:val="center"/>
        </w:trPr>
        <w:tc>
          <w:tcPr>
            <w:tcW w:w="2025" w:type="dxa"/>
          </w:tcPr>
          <w:p w14:paraId="416FFB4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Medium</w:t>
            </w:r>
          </w:p>
        </w:tc>
        <w:tc>
          <w:tcPr>
            <w:tcW w:w="2025" w:type="dxa"/>
          </w:tcPr>
          <w:p w14:paraId="0006F68F"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0.3 &lt; g 0.7</w:t>
            </w:r>
            <m:oMath>
              <m:r>
                <m:rPr>
                  <m:sty m:val="p"/>
                </m:rPr>
                <w:rPr>
                  <w:rFonts w:ascii="Cambria Math" w:hAnsi="Cambria Math"/>
                  <w:sz w:val="22"/>
                  <w:szCs w:val="22"/>
                </w:rPr>
                <m:t>≤</m:t>
              </m:r>
            </m:oMath>
          </w:p>
        </w:tc>
        <w:tc>
          <w:tcPr>
            <w:tcW w:w="2025" w:type="dxa"/>
          </w:tcPr>
          <w:p w14:paraId="262D8ECA"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6</w:t>
            </w:r>
          </w:p>
        </w:tc>
        <w:tc>
          <w:tcPr>
            <w:tcW w:w="2025" w:type="dxa"/>
          </w:tcPr>
          <w:p w14:paraId="3CCB8FC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17.1%</w:t>
            </w:r>
          </w:p>
        </w:tc>
      </w:tr>
      <w:tr w:rsidR="000C5028" w:rsidRPr="00382E5B" w14:paraId="45BF4E8E" w14:textId="77777777" w:rsidTr="00C53DC2">
        <w:trPr>
          <w:jc w:val="center"/>
        </w:trPr>
        <w:tc>
          <w:tcPr>
            <w:tcW w:w="2025" w:type="dxa"/>
          </w:tcPr>
          <w:p w14:paraId="699C42C2"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Low</w:t>
            </w:r>
          </w:p>
        </w:tc>
        <w:tc>
          <w:tcPr>
            <w:tcW w:w="2025" w:type="dxa"/>
          </w:tcPr>
          <w:p w14:paraId="2AB9F06F"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g &lt; 0.3</w:t>
            </w:r>
          </w:p>
        </w:tc>
        <w:tc>
          <w:tcPr>
            <w:tcW w:w="2025" w:type="dxa"/>
          </w:tcPr>
          <w:p w14:paraId="3A4991A4"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w:t>
            </w:r>
          </w:p>
        </w:tc>
        <w:tc>
          <w:tcPr>
            <w:tcW w:w="2025" w:type="dxa"/>
          </w:tcPr>
          <w:p w14:paraId="336506B6"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0%</w:t>
            </w:r>
          </w:p>
        </w:tc>
      </w:tr>
      <w:tr w:rsidR="000C5028" w:rsidRPr="00382E5B" w14:paraId="616F2425" w14:textId="77777777" w:rsidTr="00C53DC2">
        <w:trPr>
          <w:jc w:val="center"/>
        </w:trPr>
        <w:tc>
          <w:tcPr>
            <w:tcW w:w="2025" w:type="dxa"/>
          </w:tcPr>
          <w:p w14:paraId="573580A4"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Quantity</w:t>
            </w:r>
          </w:p>
        </w:tc>
        <w:tc>
          <w:tcPr>
            <w:tcW w:w="2025" w:type="dxa"/>
          </w:tcPr>
          <w:p w14:paraId="3A94F25D" w14:textId="77777777" w:rsidR="000C5028" w:rsidRPr="00C53DC2" w:rsidRDefault="000C5028" w:rsidP="009D34BC">
            <w:pPr>
              <w:jc w:val="center"/>
              <w:rPr>
                <w:rFonts w:ascii="Palatino Linotype" w:hAnsi="Palatino Linotype"/>
                <w:sz w:val="22"/>
                <w:szCs w:val="22"/>
              </w:rPr>
            </w:pPr>
          </w:p>
        </w:tc>
        <w:tc>
          <w:tcPr>
            <w:tcW w:w="2025" w:type="dxa"/>
          </w:tcPr>
          <w:p w14:paraId="7F22AB01"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35</w:t>
            </w:r>
          </w:p>
        </w:tc>
        <w:tc>
          <w:tcPr>
            <w:tcW w:w="2025" w:type="dxa"/>
          </w:tcPr>
          <w:p w14:paraId="700741AB" w14:textId="77777777" w:rsidR="000C5028" w:rsidRPr="00C53DC2" w:rsidRDefault="000C5028" w:rsidP="009D34BC">
            <w:pPr>
              <w:jc w:val="center"/>
              <w:rPr>
                <w:rFonts w:ascii="Palatino Linotype" w:hAnsi="Palatino Linotype"/>
                <w:sz w:val="22"/>
                <w:szCs w:val="22"/>
              </w:rPr>
            </w:pPr>
            <w:r w:rsidRPr="00C53DC2">
              <w:rPr>
                <w:rFonts w:ascii="Palatino Linotype" w:hAnsi="Palatino Linotype"/>
                <w:sz w:val="22"/>
                <w:szCs w:val="22"/>
              </w:rPr>
              <w:t>100%</w:t>
            </w:r>
          </w:p>
        </w:tc>
      </w:tr>
    </w:tbl>
    <w:p w14:paraId="19F6DEA7" w14:textId="65DE3DC1"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Based on Table 5, the distribution of students by N-Gain category shows that most students are in the high category. Of the total 35 students, 29 students (82.9%) obtained an N-Gain score in the high category, while 6 students (17.1%) were in the medium category, and there were no students in the low category. This category refers to the N-Gain classification according to which the value of g ≥ 0.7 belongs to the high category, 0.3 ≤ g &lt; 0.7 medium category, and g &lt; 0.3 to the low category. </w:t>
      </w:r>
    </w:p>
    <w:p w14:paraId="2EC86C22"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lastRenderedPageBreak/>
        <w:t>The distribution shows that the improvement in student learning outcomes is dominated by the high category, so it can be indicated that the learning applied is able to provide optimal improvement for most students. In addition, the absence of students in the low category corroborated that all students experienced improved ability after treatment, albeit with different levels of improvement. Overall, these results show that the learning interventions provided have high effectiveness in improving student learning outcomes.</w:t>
      </w:r>
    </w:p>
    <w:p w14:paraId="59E9286B" w14:textId="77777777" w:rsidR="000C5028" w:rsidRPr="00614FC9" w:rsidRDefault="000C5028" w:rsidP="00C53DC2">
      <w:pPr>
        <w:spacing w:line="276" w:lineRule="auto"/>
        <w:ind w:left="426"/>
        <w:jc w:val="both"/>
        <w:rPr>
          <w:rFonts w:ascii="Palatino Linotype" w:eastAsia="Palatino Linotype" w:hAnsi="Palatino Linotype" w:cs="Palatino Linotype"/>
          <w:b/>
          <w:bCs/>
          <w:color w:val="000000"/>
          <w:sz w:val="24"/>
          <w:szCs w:val="24"/>
        </w:rPr>
      </w:pPr>
      <w:r w:rsidRPr="00614FC9">
        <w:rPr>
          <w:rFonts w:ascii="Palatino Linotype" w:eastAsia="Palatino Linotype" w:hAnsi="Palatino Linotype" w:cs="Palatino Linotype"/>
          <w:b/>
          <w:bCs/>
          <w:color w:val="000000"/>
          <w:sz w:val="24"/>
          <w:szCs w:val="24"/>
        </w:rPr>
        <w:t>Discussion</w:t>
      </w:r>
    </w:p>
    <w:p w14:paraId="60C0896E" w14:textId="77777777"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results of this study show that the application of the Think-Pair-Share (TPS) cooperative learning model provides a considerable improvement in student learning outcomes in the Correlation Analysis material. This is shown by the jump in the average score from 16.26 in the pretest to 87.23 in the </w:t>
      </w:r>
      <w:proofErr w:type="spellStart"/>
      <w:r w:rsidRPr="00614FC9">
        <w:rPr>
          <w:rFonts w:ascii="Palatino Linotype" w:eastAsia="Palatino Linotype" w:hAnsi="Palatino Linotype" w:cs="Palatino Linotype"/>
          <w:color w:val="000000"/>
          <w:sz w:val="24"/>
          <w:szCs w:val="24"/>
        </w:rPr>
        <w:t>posttest</w:t>
      </w:r>
      <w:proofErr w:type="spellEnd"/>
      <w:r w:rsidRPr="00614FC9">
        <w:rPr>
          <w:rFonts w:ascii="Palatino Linotype" w:eastAsia="Palatino Linotype" w:hAnsi="Palatino Linotype" w:cs="Palatino Linotype"/>
          <w:color w:val="000000"/>
          <w:sz w:val="24"/>
          <w:szCs w:val="24"/>
        </w:rPr>
        <w:t>, as well as the average N-Gain value of 0.8429 in the high category. However, considering that the research design used is pre-experimental, these findings are more appropriately seen as preliminary evidence that supports the effectiveness of TPS in this learning context, so further research with a stronger experimental design is still needed to generalize the results.</w:t>
      </w:r>
    </w:p>
    <w:p w14:paraId="556524C4" w14:textId="4323B9C3"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These findings are in line with research showing that TPS is able to increase student participation through paired interactions that encourage active engagement in learning </w:t>
      </w:r>
      <w:sdt>
        <w:sdtPr>
          <w:rPr>
            <w:rFonts w:ascii="Palatino Linotype" w:eastAsia="Palatino Linotype" w:hAnsi="Palatino Linotype" w:cs="Palatino Linotype"/>
            <w:color w:val="000000"/>
            <w:sz w:val="24"/>
            <w:szCs w:val="24"/>
          </w:rPr>
          <w:tag w:val="MENDELEY_CITATION_v3_eyJjaXRhdGlvbklEIjoiTUVOREVMRVlfQ0lUQVRJT05fZDMwYTY5YWUtMGNjNC00YzUyLThkNDYtMWQ1Y2NmYzIzZmQx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
          <w:id w:val="137701859"/>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[8]</w:t>
          </w:r>
        </w:sdtContent>
      </w:sdt>
      <w:r w:rsidRPr="00614FC9">
        <w:rPr>
          <w:rFonts w:ascii="Palatino Linotype" w:eastAsia="Palatino Linotype" w:hAnsi="Palatino Linotype" w:cs="Palatino Linotype"/>
          <w:color w:val="000000"/>
          <w:sz w:val="24"/>
          <w:szCs w:val="24"/>
        </w:rPr>
        <w:t xml:space="preserve">. In addition, the implementation of TPS has also been proven to significantly improve student learning outcomes and activities through a structured and collaborative </w:t>
      </w:r>
      <w:r w:rsidRPr="0078405D">
        <w:rPr>
          <w:rFonts w:ascii="Palatino Linotype" w:eastAsia="Palatino Linotype" w:hAnsi="Palatino Linotype" w:cs="Palatino Linotype"/>
          <w:color w:val="000000"/>
          <w:sz w:val="24"/>
          <w:szCs w:val="24"/>
        </w:rPr>
        <w:t xml:space="preserve">discussion process </w:t>
      </w:r>
      <w:sdt>
        <w:sdtPr>
          <w:rPr>
            <w:rFonts w:ascii="Palatino Linotype" w:eastAsia="Palatino Linotype" w:hAnsi="Palatino Linotype" w:cs="Palatino Linotype"/>
            <w:color w:val="000000"/>
            <w:sz w:val="24"/>
            <w:szCs w:val="24"/>
          </w:rPr>
          <w:tag w:val="MENDELEY_CITATION_v3_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"/>
          <w:id w:val="-69660618"/>
          <w:placeholder>
            <w:docPart w:val="DefaultPlaceholder_-1854013440"/>
          </w:placeholder>
        </w:sdtPr>
        <w:sdtContent>
          <w:r w:rsidR="0078405D" w:rsidRPr="0078405D">
            <w:rPr>
              <w:rFonts w:ascii="Palatino Linotype" w:eastAsia="Palatino Linotype" w:hAnsi="Palatino Linotype" w:cs="Palatino Linotype"/>
              <w:color w:val="000000"/>
              <w:sz w:val="24"/>
              <w:szCs w:val="24"/>
            </w:rPr>
            <w:t>[18]</w:t>
          </w:r>
        </w:sdtContent>
      </w:sdt>
      <w:r w:rsidR="0078405D" w:rsidRPr="0078405D">
        <w:rPr>
          <w:rFonts w:ascii="Palatino Linotype" w:eastAsia="Palatino Linotype" w:hAnsi="Palatino Linotype" w:cs="Palatino Linotype"/>
          <w:b/>
          <w:bCs/>
          <w:color w:val="000000"/>
          <w:sz w:val="24"/>
          <w:szCs w:val="24"/>
        </w:rPr>
        <w:t>.</w:t>
      </w:r>
      <w:r w:rsidR="0078405D">
        <w:rPr>
          <w:rFonts w:ascii="Palatino Linotype" w:eastAsia="Palatino Linotype" w:hAnsi="Palatino Linotype" w:cs="Palatino Linotype"/>
          <w:b/>
          <w:bCs/>
          <w:color w:val="000000"/>
          <w:sz w:val="24"/>
          <w:szCs w:val="24"/>
        </w:rPr>
        <w:t xml:space="preserve"> </w:t>
      </w:r>
      <w:r>
        <w:rPr>
          <w:rFonts w:ascii="Palatino Linotype" w:eastAsia="Palatino Linotype" w:hAnsi="Palatino Linotype" w:cs="Palatino Linotype"/>
          <w:color w:val="000000"/>
          <w:sz w:val="24"/>
          <w:szCs w:val="24"/>
        </w:rPr>
        <w:t>O</w:t>
      </w:r>
      <w:r w:rsidRPr="00614FC9">
        <w:rPr>
          <w:rFonts w:ascii="Palatino Linotype" w:eastAsia="Palatino Linotype" w:hAnsi="Palatino Linotype" w:cs="Palatino Linotype"/>
          <w:color w:val="000000"/>
          <w:sz w:val="24"/>
          <w:szCs w:val="24"/>
        </w:rPr>
        <w:t>ther support also shows that the TPS model contributes positively to improving students' thinking abilities and learning outcomes in various learning context</w:t>
      </w:r>
      <w:r>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"/>
          <w:id w:val="29307845"/>
          <w:placeholder>
            <w:docPart w:val="B169470A4BF04A449B4D6F7D49B402B2"/>
          </w:placeholder>
        </w:sdtPr>
        <w:sdtContent>
          <w:r w:rsidR="0078405D" w:rsidRPr="0078405D">
            <w:rPr>
              <w:rFonts w:ascii="Palatino Linotype" w:eastAsia="Palatino Linotype" w:hAnsi="Palatino Linotype" w:cs="Palatino Linotype"/>
              <w:color w:val="000000"/>
              <w:sz w:val="24"/>
              <w:szCs w:val="24"/>
            </w:rPr>
            <w:t>[9]</w:t>
          </w:r>
        </w:sdtContent>
      </w:sdt>
      <w:r w:rsidRPr="00614FC9">
        <w:rPr>
          <w:rFonts w:ascii="Palatino Linotype" w:eastAsia="Palatino Linotype" w:hAnsi="Palatino Linotype" w:cs="Palatino Linotype"/>
          <w:color w:val="000000"/>
          <w:sz w:val="24"/>
          <w:szCs w:val="24"/>
        </w:rPr>
        <w:t>. Thus, the results of this study strengthen the previous finding that TPS is a potential learning model in improving the quality of mathematics learning.</w:t>
      </w:r>
    </w:p>
    <w:p w14:paraId="24404AF2" w14:textId="192972AB"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The effectiveness of the TPS model can be understood through several theoretical and pedagogical lenses. First of all, the Thinking phase stimulates the student's individual metacognitive process by requiring each student to independently utilize their prior knowledge and establish an initial understanding of the problem before peer interaction occurs </w:t>
      </w:r>
      <w:sdt>
        <w:sdtPr>
          <w:rPr>
            <w:rFonts w:ascii="Palatino Linotype" w:eastAsia="Palatino Linotype" w:hAnsi="Palatino Linotype" w:cs="Palatino Linotype"/>
            <w:color w:val="000000"/>
            <w:sz w:val="24"/>
            <w:szCs w:val="24"/>
          </w:rPr>
          <w:tag w:val="MENDELEY_CITATION_v3_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"/>
          <w:id w:val="1525286623"/>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[19]</w:t>
          </w:r>
        </w:sdtContent>
      </w:sdt>
      <w:r w:rsidRPr="00614FC9">
        <w:rPr>
          <w:rFonts w:ascii="Palatino Linotype" w:eastAsia="Palatino Linotype" w:hAnsi="Palatino Linotype" w:cs="Palatino Linotype"/>
          <w:color w:val="000000"/>
          <w:sz w:val="24"/>
          <w:szCs w:val="24"/>
        </w:rPr>
        <w:t xml:space="preserve">. When applied to Correlation Analysis, this stage of individual thinking is particularly beneficial because it encourages students to reflect on the nature of their own variable </w:t>
      </w:r>
      <w:r w:rsidRPr="00614FC9">
        <w:rPr>
          <w:rFonts w:ascii="Palatino Linotype" w:eastAsia="Palatino Linotype" w:hAnsi="Palatino Linotype" w:cs="Palatino Linotype"/>
          <w:color w:val="000000"/>
          <w:sz w:val="24"/>
          <w:szCs w:val="24"/>
        </w:rPr>
        <w:lastRenderedPageBreak/>
        <w:t xml:space="preserve">relationships before opening a discussion. Such active cognitive engagement is in stark contrast to the passive acceptance of the content delivered by teachers, which is widely considered a significant barrier to genuine conceptual understanding in mathematics </w:t>
      </w:r>
      <w:sdt>
        <w:sdtPr>
          <w:rPr>
            <w:rFonts w:ascii="Palatino Linotype" w:eastAsia="Palatino Linotype" w:hAnsi="Palatino Linotype" w:cs="Palatino Linotype"/>
            <w:color w:val="000000"/>
            <w:sz w:val="24"/>
            <w:szCs w:val="24"/>
          </w:rPr>
          <w:tag w:val="MENDELEY_CITATION_v3_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"/>
          <w:id w:val="628202714"/>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[20]</w:t>
          </w:r>
        </w:sdtContent>
      </w:sdt>
      <w:r w:rsidRPr="00614FC9">
        <w:rPr>
          <w:rFonts w:ascii="Palatino Linotype" w:eastAsia="Palatino Linotype" w:hAnsi="Palatino Linotype" w:cs="Palatino Linotype"/>
          <w:color w:val="000000"/>
          <w:sz w:val="24"/>
          <w:szCs w:val="24"/>
        </w:rPr>
        <w:t>.</w:t>
      </w:r>
    </w:p>
    <w:p w14:paraId="5187F44A" w14:textId="25D3EF31"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In addition, the Pair phase in the TPS model provides a collaborative space for students to express and discuss mathematical reasoning with peers. Research shows that student involvement in explaining ideas as well as responding to other people's thoughts is positively correlated with improved learning outcomes </w:t>
      </w:r>
      <w:sdt>
        <w:sdtPr>
          <w:rPr>
            <w:rFonts w:ascii="Palatino Linotype" w:eastAsia="Palatino Linotype" w:hAnsi="Palatino Linotype" w:cs="Palatino Linotype"/>
            <w:color w:val="000000"/>
            <w:sz w:val="24"/>
            <w:szCs w:val="24"/>
          </w:rPr>
          <w:tag w:val="MENDELEY_CITATION_v3_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"/>
          <w:id w:val="-1870680776"/>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[21]</w:t>
          </w:r>
        </w:sdtContent>
      </w:sdt>
      <w:r w:rsidRPr="00614FC9">
        <w:rPr>
          <w:rFonts w:ascii="Palatino Linotype" w:eastAsia="Palatino Linotype" w:hAnsi="Palatino Linotype" w:cs="Palatino Linotype"/>
          <w:color w:val="000000"/>
          <w:sz w:val="24"/>
          <w:szCs w:val="24"/>
        </w:rPr>
        <w:t xml:space="preserve">. This is in line with the findings that the activity of explaining material to others can strengthen deeper understanding and retention of learning </w:t>
      </w:r>
      <w:sdt>
        <w:sdtPr>
          <w:rPr>
            <w:rFonts w:ascii="Palatino Linotype" w:eastAsia="Palatino Linotype" w:hAnsi="Palatino Linotype" w:cs="Palatino Linotype"/>
            <w:color w:val="000000"/>
            <w:sz w:val="24"/>
            <w:szCs w:val="24"/>
          </w:rPr>
          <w:tag w:val="MENDELEY_CITATION_v3_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"/>
          <w:id w:val="1538470053"/>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[22]</w:t>
          </w:r>
        </w:sdtContent>
      </w:sdt>
      <w:r w:rsidRPr="00614FC9">
        <w:rPr>
          <w:rFonts w:ascii="Palatino Linotype" w:eastAsia="Palatino Linotype" w:hAnsi="Palatino Linotype" w:cs="Palatino Linotype"/>
          <w:color w:val="000000"/>
          <w:sz w:val="24"/>
          <w:szCs w:val="24"/>
        </w:rPr>
        <w:t xml:space="preserve">. In the context of mathematics learning, interaction and discussion between students also contribute to the development of thinking and understanding through the process of exchanging ideas and clarifying concepts. Thus, the Pair phase not only serves as a means of exchanging answers, but also as a mechanism for building conceptual understanding through interaction and clarification of ideas </w:t>
      </w:r>
      <w:sdt>
        <w:sdtPr>
          <w:rPr>
            <w:rFonts w:ascii="Palatino Linotype" w:eastAsia="Palatino Linotype" w:hAnsi="Palatino Linotype" w:cs="Palatino Linotype"/>
            <w:color w:val="000000"/>
            <w:sz w:val="24"/>
            <w:szCs w:val="24"/>
          </w:rPr>
          <w:tag w:val="MENDELEY_CITATION_v3_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"/>
          <w:id w:val="-1921478659"/>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[23]</w:t>
          </w:r>
        </w:sdtContent>
      </w:sdt>
      <w:r>
        <w:rPr>
          <w:rFonts w:ascii="Palatino Linotype" w:eastAsia="Palatino Linotype" w:hAnsi="Palatino Linotype" w:cs="Palatino Linotype"/>
          <w:color w:val="000000"/>
          <w:sz w:val="24"/>
          <w:szCs w:val="24"/>
        </w:rPr>
        <w:t>.</w:t>
      </w:r>
    </w:p>
    <w:p w14:paraId="67B39492" w14:textId="4BE56AFC" w:rsidR="000C5028" w:rsidRPr="00614FC9" w:rsidRDefault="000C5028"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 xml:space="preserve">In addition, the Share phase provides students with the opportunity to present the results of their thinking in front of the class, which contributes to increased student participation in learning </w:t>
      </w:r>
      <w:sdt>
        <w:sdtPr>
          <w:rPr>
            <w:rFonts w:ascii="Palatino Linotype" w:eastAsia="Palatino Linotype" w:hAnsi="Palatino Linotype" w:cs="Palatino Linotype"/>
            <w:color w:val="000000"/>
            <w:sz w:val="24"/>
            <w:szCs w:val="24"/>
          </w:rPr>
          <w:tag w:val="MENDELEY_CITATION_v3_eyJjaXRhdGlvbklEIjoiTUVOREVMRVlfQ0lUQVRJT05fMTMyMWJlZDgtZjZhNy00M2UwLTk2NjUtM2EzZjBmM2RlMGFh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
          <w:id w:val="690338181"/>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[8]</w:t>
          </w:r>
        </w:sdtContent>
      </w:sdt>
      <w:r w:rsidRPr="00614FC9">
        <w:rPr>
          <w:rFonts w:ascii="Palatino Linotype" w:eastAsia="Palatino Linotype" w:hAnsi="Palatino Linotype" w:cs="Palatino Linotype"/>
          <w:color w:val="000000"/>
          <w:sz w:val="24"/>
          <w:szCs w:val="24"/>
        </w:rPr>
        <w:t>. Research shows that the implementation of TPS can increase student engagement, particularly in terms of the courage to participate in class discussions. Other findings also show that the TPS model contributes to an increase in learning outcomes and student activities during the learning process. Thus, the Share phase is more appropriately understood as a means to encourage student participation and involvement in</w:t>
      </w:r>
      <w:r>
        <w:rPr>
          <w:rFonts w:ascii="Palatino Linotype" w:eastAsia="Palatino Linotype" w:hAnsi="Palatino Linotype" w:cs="Palatino Linotype"/>
          <w:color w:val="000000"/>
          <w:sz w:val="24"/>
          <w:szCs w:val="24"/>
        </w:rPr>
        <w:t xml:space="preserve"> </w:t>
      </w:r>
      <w:sdt>
        <w:sdtPr>
          <w:rPr>
            <w:rFonts w:ascii="Palatino Linotype" w:eastAsia="Palatino Linotype" w:hAnsi="Palatino Linotype" w:cs="Palatino Linotype"/>
            <w:color w:val="000000"/>
            <w:sz w:val="24"/>
            <w:szCs w:val="24"/>
          </w:rPr>
          <w:tag w:val="MENDELEY_CITATION_v3_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"/>
          <w:id w:val="266513577"/>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[24]</w:t>
          </w:r>
        </w:sdtContent>
      </w:sdt>
      <w:r>
        <w:rPr>
          <w:rFonts w:ascii="Palatino Linotype" w:eastAsia="Palatino Linotype" w:hAnsi="Palatino Linotype" w:cs="Palatino Linotype"/>
          <w:color w:val="000000"/>
          <w:sz w:val="24"/>
          <w:szCs w:val="24"/>
        </w:rPr>
        <w:t>.</w:t>
      </w:r>
    </w:p>
    <w:p w14:paraId="6F578F23" w14:textId="3265E169" w:rsidR="000C5028" w:rsidRDefault="000C5028" w:rsidP="00C53DC2">
      <w:pPr>
        <w:spacing w:line="276" w:lineRule="auto"/>
        <w:ind w:left="426" w:firstLine="720"/>
        <w:jc w:val="both"/>
        <w:rPr>
          <w:rFonts w:ascii="Palatino Linotype" w:eastAsia="Palatino Linotype" w:hAnsi="Palatino Linotype" w:cs="Palatino Linotype"/>
          <w:b/>
          <w:bCs/>
          <w:color w:val="000000"/>
          <w:sz w:val="24"/>
          <w:szCs w:val="24"/>
        </w:rPr>
      </w:pPr>
      <w:r w:rsidRPr="00614FC9">
        <w:rPr>
          <w:rFonts w:ascii="Palatino Linotype" w:eastAsia="Palatino Linotype" w:hAnsi="Palatino Linotype" w:cs="Palatino Linotype"/>
          <w:color w:val="000000"/>
          <w:sz w:val="24"/>
          <w:szCs w:val="24"/>
        </w:rPr>
        <w:t xml:space="preserve">The fact that 6 students (17.1%) were still in the medium N-Gain category, with the lowest score of 0.3182, suggests that the improvement in learning outcomes did not occur equally among all students. These findings are in line with research that shows that in cooperative learning there are still variations in learning outcomes between individuals </w:t>
      </w:r>
      <w:sdt>
        <w:sdtPr>
          <w:rPr>
            <w:rFonts w:ascii="Palatino Linotype" w:eastAsia="Palatino Linotype" w:hAnsi="Palatino Linotype" w:cs="Palatino Linotype"/>
            <w:color w:val="000000"/>
            <w:sz w:val="24"/>
            <w:szCs w:val="24"/>
          </w:rPr>
          <w:tag w:val="MENDELEY_CITATION_v3_eyJjaXRhdGlvbklEIjoiTUVOREVMRVlfQ0lUQVRJT05fYTY3NjNkMWUtNDcxYi00MWIyLTg1NmEtYzI1NDE3NjE2NDgy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
          <w:id w:val="-221450952"/>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[8]</w:t>
          </w:r>
        </w:sdtContent>
      </w:sdt>
      <w:r w:rsidRPr="00614FC9">
        <w:rPr>
          <w:rFonts w:ascii="Palatino Linotype" w:eastAsia="Palatino Linotype" w:hAnsi="Palatino Linotype" w:cs="Palatino Linotype"/>
          <w:color w:val="000000"/>
          <w:sz w:val="24"/>
          <w:szCs w:val="24"/>
        </w:rPr>
        <w:t xml:space="preserve">. Other studies also reported that in the implementation of TPS, student participation in learning activities can vary so that it has the potential to affect the learning outcomes obtained. In addition, research on TPS-based mathematics learning shows that the improvement achieved by students is in a varied, not entirely high category </w:t>
      </w:r>
      <w:sdt>
        <w:sdtPr>
          <w:rPr>
            <w:rFonts w:ascii="Palatino Linotype" w:eastAsia="Palatino Linotype" w:hAnsi="Palatino Linotype" w:cs="Palatino Linotype"/>
            <w:color w:val="000000"/>
            <w:sz w:val="24"/>
            <w:szCs w:val="24"/>
          </w:rPr>
          <w:tag w:val="MENDELEY_CITATION_v3_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"/>
          <w:id w:val="1946654342"/>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[25]</w:t>
          </w:r>
        </w:sdtContent>
      </w:sdt>
      <w:r w:rsidRPr="00614FC9">
        <w:rPr>
          <w:rFonts w:ascii="Palatino Linotype" w:eastAsia="Palatino Linotype" w:hAnsi="Palatino Linotype" w:cs="Palatino Linotype"/>
          <w:color w:val="000000"/>
          <w:sz w:val="24"/>
          <w:szCs w:val="24"/>
        </w:rPr>
        <w:t xml:space="preserve">. Thus, the variation in </w:t>
      </w:r>
      <w:r w:rsidRPr="00614FC9">
        <w:rPr>
          <w:rFonts w:ascii="Palatino Linotype" w:eastAsia="Palatino Linotype" w:hAnsi="Palatino Linotype" w:cs="Palatino Linotype"/>
          <w:color w:val="000000"/>
          <w:sz w:val="24"/>
          <w:szCs w:val="24"/>
        </w:rPr>
        <w:lastRenderedPageBreak/>
        <w:t xml:space="preserve">results found in this study is more appropriately understood as part of the general characteristics of cooperative learning, where the improvement in learning outcomes is not always uniform in each student </w:t>
      </w:r>
      <w:sdt>
        <w:sdtPr>
          <w:rPr>
            <w:rFonts w:ascii="Palatino Linotype" w:eastAsia="Palatino Linotype" w:hAnsi="Palatino Linotype" w:cs="Palatino Linotype"/>
            <w:color w:val="000000"/>
            <w:sz w:val="24"/>
            <w:szCs w:val="24"/>
          </w:rPr>
          <w:tag w:val="MENDELEY_CITATION_v3_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"/>
          <w:id w:val="206536937"/>
          <w:placeholder>
            <w:docPart w:val="DA6AA9194352404988375BD13F242C62"/>
          </w:placeholder>
        </w:sdtPr>
        <w:sdtContent>
          <w:r w:rsidR="0078405D" w:rsidRPr="0078405D">
            <w:rPr>
              <w:rFonts w:ascii="Palatino Linotype" w:eastAsia="Palatino Linotype" w:hAnsi="Palatino Linotype" w:cs="Palatino Linotype"/>
              <w:color w:val="000000"/>
              <w:sz w:val="24"/>
              <w:szCs w:val="24"/>
            </w:rPr>
            <w:t>[24]</w:t>
          </w:r>
        </w:sdtContent>
      </w:sdt>
      <w:r>
        <w:rPr>
          <w:rFonts w:ascii="Palatino Linotype" w:eastAsia="Palatino Linotype" w:hAnsi="Palatino Linotype" w:cs="Palatino Linotype"/>
          <w:b/>
          <w:bCs/>
          <w:color w:val="000000"/>
          <w:sz w:val="24"/>
          <w:szCs w:val="24"/>
        </w:rPr>
        <w:t>.</w:t>
      </w:r>
    </w:p>
    <w:p w14:paraId="0E825025" w14:textId="07DFAF03" w:rsidR="004B5F1B" w:rsidRDefault="004B5F1B" w:rsidP="004B5F1B">
      <w:pPr>
        <w:spacing w:after="120" w:line="276" w:lineRule="auto"/>
      </w:pPr>
      <w:r>
        <w:rPr>
          <w:rFonts w:ascii="Palatino Linotype" w:eastAsia="Palatino Linotype" w:hAnsi="Palatino Linotype" w:cs="Palatino Linotype"/>
          <w:b/>
          <w:bCs/>
          <w:color w:val="000000"/>
          <w:sz w:val="24"/>
          <w:szCs w:val="24"/>
        </w:rPr>
        <w:t>IV.</w:t>
      </w:r>
      <w:r>
        <w:rPr>
          <w:rFonts w:ascii="Palatino Linotype" w:eastAsia="Palatino Linotype" w:hAnsi="Palatino Linotype" w:cs="Palatino Linotype"/>
          <w:b/>
          <w:bCs/>
          <w:color w:val="000000"/>
          <w:sz w:val="24"/>
          <w:szCs w:val="24"/>
        </w:rPr>
        <w:tab/>
        <w:t>CONCLUSION</w:t>
      </w:r>
      <w:r>
        <w:rPr>
          <w:rFonts w:ascii="Palatino Linotype" w:eastAsia="Palatino Linotype" w:hAnsi="Palatino Linotype" w:cs="Palatino Linotype"/>
          <w:color w:val="808080"/>
          <w:sz w:val="16"/>
          <w:szCs w:val="16"/>
        </w:rPr>
        <w:t xml:space="preserve"> </w:t>
      </w:r>
    </w:p>
    <w:p w14:paraId="072A2799" w14:textId="77777777" w:rsidR="00C53DC2" w:rsidRDefault="00C53DC2"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Based on the results of the study, it can be concluded that the application of the Think Pair Share (TPS) learning model has proven to be effective in improving learning outcomes and student participation. This increase can be seen from the increase in the average value and the N-Gain category which is at medium to high levels. In addition, the TPS model is also able to encourage active involvement of students in the learning process through independent thinking activities, discussion in pairs, and sharing the results of thinking in the classroom. Although there is variation in improved learning outcomes between students, it is a common characteristic of cooperative learning. Thus, the TPS model can be used as an alternative to innovative and effective learning strategies to improve the quality of learning, especially in creating an active, collaborative, and meaningful learning atmosphere.</w:t>
      </w:r>
    </w:p>
    <w:p w14:paraId="675E52C4" w14:textId="53ABF6DC" w:rsidR="00C53DC2" w:rsidRDefault="00C53DC2" w:rsidP="00C53DC2">
      <w:pPr>
        <w:spacing w:line="276" w:lineRule="auto"/>
        <w:ind w:left="426" w:firstLine="720"/>
        <w:jc w:val="both"/>
        <w:rPr>
          <w:rFonts w:ascii="Palatino Linotype" w:eastAsia="Palatino Linotype" w:hAnsi="Palatino Linotype" w:cs="Palatino Linotype"/>
          <w:color w:val="000000"/>
          <w:sz w:val="24"/>
          <w:szCs w:val="24"/>
        </w:rPr>
      </w:pPr>
      <w:r w:rsidRPr="00614FC9">
        <w:rPr>
          <w:rFonts w:ascii="Palatino Linotype" w:eastAsia="Palatino Linotype" w:hAnsi="Palatino Linotype" w:cs="Palatino Linotype"/>
          <w:color w:val="000000"/>
          <w:sz w:val="24"/>
          <w:szCs w:val="24"/>
        </w:rPr>
        <w:t>Further research is recommended to use a more robust experimental design, such as pure experiments with control groups, so that the results can be generalized more broadly. In addition, research can be developed by involving a larger and more diverse number of subjects to see the consistency of the effectiveness of the TPS model on various student characteristics. The next researcher is also advised to study the application of TPS to different materials or levels of education, and combine it with other learning models or media to obtain more optimal results. In addition, it is necessary to conduct more in-depth research related to the factors that affect the variation in the improvement of student learning outcomes in cooperative learning.</w:t>
      </w:r>
    </w:p>
    <w:p w14:paraId="46A9CD40" w14:textId="5BA2994B" w:rsidR="004B5F1B" w:rsidRDefault="004B5F1B" w:rsidP="004B5F1B">
      <w:pPr>
        <w:spacing w:after="120" w:line="276" w:lineRule="auto"/>
      </w:pPr>
      <w:r>
        <w:rPr>
          <w:rFonts w:ascii="Palatino Linotype" w:eastAsia="Palatino Linotype" w:hAnsi="Palatino Linotype" w:cs="Palatino Linotype"/>
          <w:b/>
          <w:bCs/>
          <w:color w:val="000000"/>
          <w:sz w:val="24"/>
          <w:szCs w:val="24"/>
        </w:rPr>
        <w:t>V.</w:t>
      </w:r>
      <w:r>
        <w:rPr>
          <w:rFonts w:ascii="Palatino Linotype" w:eastAsia="Palatino Linotype" w:hAnsi="Palatino Linotype" w:cs="Palatino Linotype"/>
          <w:b/>
          <w:bCs/>
          <w:color w:val="000000"/>
          <w:sz w:val="24"/>
          <w:szCs w:val="24"/>
        </w:rPr>
        <w:tab/>
        <w:t>REFERENCES</w:t>
      </w:r>
      <w:r>
        <w:rPr>
          <w:rFonts w:ascii="Palatino Linotype" w:eastAsia="Palatino Linotype" w:hAnsi="Palatino Linotype" w:cs="Palatino Linotype"/>
          <w:color w:val="808080"/>
          <w:sz w:val="16"/>
          <w:szCs w:val="16"/>
        </w:rPr>
        <w:t xml:space="preserve"> </w:t>
      </w:r>
    </w:p>
    <w:sdt>
      <w:sdtPr>
        <w:rPr>
          <w:rFonts w:ascii="Palatino Linotype" w:hAnsi="Palatino Linotype"/>
          <w:sz w:val="24"/>
          <w:szCs w:val="24"/>
        </w:rPr>
        <w:tag w:val="MENDELEY_BIBLIOGRAPHY"/>
        <w:id w:val="-1274083516"/>
        <w:placeholder>
          <w:docPart w:val="E4042C62921A467C9F7C2EC023E72E7E"/>
        </w:placeholder>
      </w:sdtPr>
      <w:sdtEndPr>
        <w:rPr>
          <w:rFonts w:cs="Calibri"/>
          <w:color w:val="000000"/>
          <w:sz w:val="22"/>
          <w:szCs w:val="22"/>
        </w:rPr>
      </w:sdtEndPr>
      <w:sdtContent>
        <w:p w14:paraId="1295841D" w14:textId="77777777" w:rsidR="0078405D" w:rsidRPr="0048355C" w:rsidRDefault="0078405D" w:rsidP="0048355C">
          <w:pPr>
            <w:pStyle w:val="ListParagraph"/>
            <w:numPr>
              <w:ilvl w:val="0"/>
              <w:numId w:val="1"/>
            </w:numPr>
            <w:autoSpaceDE w:val="0"/>
            <w:autoSpaceDN w:val="0"/>
            <w:ind w:left="284" w:hanging="491"/>
            <w:jc w:val="both"/>
            <w:divId w:val="2080977321"/>
            <w:rPr>
              <w:rFonts w:ascii="Palatino Linotype" w:hAnsi="Palatino Linotype" w:cs="Calibri"/>
              <w:color w:val="000000"/>
              <w:sz w:val="24"/>
              <w:szCs w:val="24"/>
            </w:rPr>
          </w:pPr>
          <w:r w:rsidRPr="0048355C">
            <w:rPr>
              <w:rFonts w:ascii="Palatino Linotype" w:hAnsi="Palatino Linotype" w:cs="Calibri"/>
              <w:color w:val="000000"/>
              <w:sz w:val="24"/>
              <w:szCs w:val="24"/>
            </w:rPr>
            <w:t>[1]</w:t>
          </w:r>
          <w:r w:rsidRPr="0048355C">
            <w:rPr>
              <w:rFonts w:ascii="Palatino Linotype" w:hAnsi="Palatino Linotype" w:cs="Calibri"/>
              <w:color w:val="000000"/>
              <w:sz w:val="24"/>
              <w:szCs w:val="24"/>
            </w:rPr>
            <w:tab/>
            <w:t>OECD, “PISA 2022 Results Factsheets Indonesia PUBE,” 2023. [Online]. Available: https://oecdch.art/a40de1dbaf/C108.</w:t>
          </w:r>
        </w:p>
        <w:p w14:paraId="0CFA0868" w14:textId="77777777" w:rsidR="0078405D" w:rsidRPr="0048355C" w:rsidRDefault="0078405D" w:rsidP="0048355C">
          <w:pPr>
            <w:pStyle w:val="ListParagraph"/>
            <w:numPr>
              <w:ilvl w:val="0"/>
              <w:numId w:val="1"/>
            </w:numPr>
            <w:autoSpaceDE w:val="0"/>
            <w:autoSpaceDN w:val="0"/>
            <w:ind w:left="284" w:hanging="491"/>
            <w:jc w:val="both"/>
            <w:divId w:val="2109960942"/>
            <w:rPr>
              <w:rFonts w:ascii="Palatino Linotype" w:hAnsi="Palatino Linotype" w:cs="Calibri"/>
              <w:color w:val="000000"/>
              <w:sz w:val="24"/>
              <w:szCs w:val="24"/>
            </w:rPr>
          </w:pPr>
          <w:r w:rsidRPr="0048355C">
            <w:rPr>
              <w:rFonts w:ascii="Palatino Linotype" w:hAnsi="Palatino Linotype" w:cs="Calibri"/>
              <w:color w:val="000000"/>
              <w:sz w:val="24"/>
              <w:szCs w:val="24"/>
            </w:rPr>
            <w:t>[2]</w:t>
          </w:r>
          <w:r w:rsidRPr="0048355C">
            <w:rPr>
              <w:rFonts w:ascii="Palatino Linotype" w:hAnsi="Palatino Linotype" w:cs="Calibri"/>
              <w:color w:val="000000"/>
              <w:sz w:val="24"/>
              <w:szCs w:val="24"/>
            </w:rPr>
            <w:tab/>
            <w:t xml:space="preserve">C. </w:t>
          </w:r>
          <w:proofErr w:type="spellStart"/>
          <w:r w:rsidRPr="0048355C">
            <w:rPr>
              <w:rFonts w:ascii="Palatino Linotype" w:hAnsi="Palatino Linotype" w:cs="Calibri"/>
              <w:color w:val="000000"/>
              <w:sz w:val="24"/>
              <w:szCs w:val="24"/>
            </w:rPr>
            <w:t>Batanero</w:t>
          </w:r>
          <w:proofErr w:type="spellEnd"/>
          <w:r w:rsidRPr="0048355C">
            <w:rPr>
              <w:rFonts w:ascii="Palatino Linotype" w:hAnsi="Palatino Linotype" w:cs="Calibri"/>
              <w:color w:val="000000"/>
              <w:sz w:val="24"/>
              <w:szCs w:val="24"/>
            </w:rPr>
            <w:t xml:space="preserve">, M. M. Gea, M. del M. Lopez-Martin, and P. </w:t>
          </w:r>
          <w:proofErr w:type="spellStart"/>
          <w:r w:rsidRPr="0048355C">
            <w:rPr>
              <w:rFonts w:ascii="Palatino Linotype" w:hAnsi="Palatino Linotype" w:cs="Calibri"/>
              <w:color w:val="000000"/>
              <w:sz w:val="24"/>
              <w:szCs w:val="24"/>
            </w:rPr>
            <w:t>Artega</w:t>
          </w:r>
          <w:proofErr w:type="spellEnd"/>
          <w:r w:rsidRPr="0048355C">
            <w:rPr>
              <w:rFonts w:ascii="Palatino Linotype" w:hAnsi="Palatino Linotype" w:cs="Calibri"/>
              <w:color w:val="000000"/>
              <w:sz w:val="24"/>
              <w:szCs w:val="24"/>
            </w:rPr>
            <w:t>, “</w:t>
          </w:r>
          <w:proofErr w:type="spellStart"/>
          <w:r w:rsidRPr="0048355C">
            <w:rPr>
              <w:rFonts w:ascii="Palatino Linotype" w:hAnsi="Palatino Linotype" w:cs="Calibri"/>
              <w:color w:val="000000"/>
              <w:sz w:val="24"/>
              <w:szCs w:val="24"/>
            </w:rPr>
            <w:t>An</w:t>
          </w:r>
          <w:r w:rsidRPr="0048355C">
            <w:rPr>
              <w:rFonts w:ascii="Palatino Linotype" w:hAnsi="Palatino Linotype" w:cs="Palatino Linotype"/>
              <w:color w:val="000000"/>
              <w:sz w:val="24"/>
              <w:szCs w:val="24"/>
            </w:rPr>
            <w:t>�</w:t>
          </w:r>
          <w:r w:rsidRPr="0048355C">
            <w:rPr>
              <w:rFonts w:ascii="Palatino Linotype" w:hAnsi="Palatino Linotype" w:cs="Calibri"/>
              <w:color w:val="000000"/>
              <w:sz w:val="24"/>
              <w:szCs w:val="24"/>
            </w:rPr>
            <w:t>lisis</w:t>
          </w:r>
          <w:proofErr w:type="spellEnd"/>
          <w:r w:rsidRPr="0048355C">
            <w:rPr>
              <w:rFonts w:ascii="Palatino Linotype" w:hAnsi="Palatino Linotype" w:cs="Calibri"/>
              <w:color w:val="000000"/>
              <w:sz w:val="24"/>
              <w:szCs w:val="24"/>
            </w:rPr>
            <w:t xml:space="preserve"> de </w:t>
          </w:r>
          <w:proofErr w:type="spellStart"/>
          <w:r w:rsidRPr="0048355C">
            <w:rPr>
              <w:rFonts w:ascii="Palatino Linotype" w:hAnsi="Palatino Linotype" w:cs="Calibri"/>
              <w:color w:val="000000"/>
              <w:sz w:val="24"/>
              <w:szCs w:val="24"/>
            </w:rPr>
            <w:t>los</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conceptos</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asociados</w:t>
          </w:r>
          <w:proofErr w:type="spellEnd"/>
          <w:r w:rsidRPr="0048355C">
            <w:rPr>
              <w:rFonts w:ascii="Palatino Linotype" w:hAnsi="Palatino Linotype" w:cs="Calibri"/>
              <w:color w:val="000000"/>
              <w:sz w:val="24"/>
              <w:szCs w:val="24"/>
            </w:rPr>
            <w:t xml:space="preserve"> a la </w:t>
          </w:r>
          <w:proofErr w:type="spellStart"/>
          <w:r w:rsidRPr="0048355C">
            <w:rPr>
              <w:rFonts w:ascii="Palatino Linotype" w:hAnsi="Palatino Linotype" w:cs="Calibri"/>
              <w:color w:val="000000"/>
              <w:sz w:val="24"/>
              <w:szCs w:val="24"/>
            </w:rPr>
            <w:t>correlaci</w:t>
          </w:r>
          <w:r w:rsidRPr="0048355C">
            <w:rPr>
              <w:rFonts w:ascii="Palatino Linotype" w:hAnsi="Palatino Linotype" w:cs="Palatino Linotype"/>
              <w:color w:val="000000"/>
              <w:sz w:val="24"/>
              <w:szCs w:val="24"/>
            </w:rPr>
            <w:t>�</w:t>
          </w:r>
          <w:r w:rsidRPr="0048355C">
            <w:rPr>
              <w:rFonts w:ascii="Palatino Linotype" w:hAnsi="Palatino Linotype" w:cs="Calibri"/>
              <w:color w:val="000000"/>
              <w:sz w:val="24"/>
              <w:szCs w:val="24"/>
            </w:rPr>
            <w:t>n</w:t>
          </w:r>
          <w:proofErr w:type="spellEnd"/>
          <w:r w:rsidRPr="0048355C">
            <w:rPr>
              <w:rFonts w:ascii="Palatino Linotype" w:hAnsi="Palatino Linotype" w:cs="Calibri"/>
              <w:color w:val="000000"/>
              <w:sz w:val="24"/>
              <w:szCs w:val="24"/>
            </w:rPr>
            <w:t xml:space="preserve"> y </w:t>
          </w:r>
          <w:proofErr w:type="spellStart"/>
          <w:r w:rsidRPr="0048355C">
            <w:rPr>
              <w:rFonts w:ascii="Palatino Linotype" w:hAnsi="Palatino Linotype" w:cs="Calibri"/>
              <w:color w:val="000000"/>
              <w:sz w:val="24"/>
              <w:szCs w:val="24"/>
            </w:rPr>
            <w:t>regresi</w:t>
          </w:r>
          <w:r w:rsidRPr="0048355C">
            <w:rPr>
              <w:rFonts w:ascii="Palatino Linotype" w:hAnsi="Palatino Linotype" w:cs="Palatino Linotype"/>
              <w:color w:val="000000"/>
              <w:sz w:val="24"/>
              <w:szCs w:val="24"/>
            </w:rPr>
            <w:t>�</w:t>
          </w:r>
          <w:r w:rsidRPr="0048355C">
            <w:rPr>
              <w:rFonts w:ascii="Palatino Linotype" w:hAnsi="Palatino Linotype" w:cs="Calibri"/>
              <w:color w:val="000000"/>
              <w:sz w:val="24"/>
              <w:szCs w:val="24"/>
            </w:rPr>
            <w:t>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en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los</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textos</w:t>
          </w:r>
          <w:proofErr w:type="spellEnd"/>
          <w:r w:rsidRPr="0048355C">
            <w:rPr>
              <w:rFonts w:ascii="Palatino Linotype" w:hAnsi="Palatino Linotype" w:cs="Calibri"/>
              <w:color w:val="000000"/>
              <w:sz w:val="24"/>
              <w:szCs w:val="24"/>
            </w:rPr>
            <w:t xml:space="preserve"> de </w:t>
          </w:r>
          <w:proofErr w:type="spellStart"/>
          <w:r w:rsidRPr="0048355C">
            <w:rPr>
              <w:rFonts w:ascii="Palatino Linotype" w:hAnsi="Palatino Linotype" w:cs="Calibri"/>
              <w:color w:val="000000"/>
              <w:sz w:val="24"/>
              <w:szCs w:val="24"/>
            </w:rPr>
            <w:t>bachillerato</w:t>
          </w:r>
          <w:proofErr w:type="spellEnd"/>
          <w:r w:rsidRPr="0048355C">
            <w:rPr>
              <w:rFonts w:ascii="Palatino Linotype" w:hAnsi="Palatino Linotype" w:cs="Calibri"/>
              <w:color w:val="000000"/>
              <w:sz w:val="24"/>
              <w:szCs w:val="24"/>
            </w:rPr>
            <w:t>,</w:t>
          </w:r>
          <w:r w:rsidRPr="0048355C">
            <w:rPr>
              <w:rFonts w:ascii="Palatino Linotype" w:hAnsi="Palatino Linotype" w:cs="Palatino Linotype"/>
              <w:color w:val="000000"/>
              <w:sz w:val="24"/>
              <w:szCs w:val="24"/>
            </w:rPr>
            <w:t>”</w:t>
          </w:r>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i/>
              <w:iCs/>
              <w:color w:val="000000"/>
              <w:sz w:val="24"/>
              <w:szCs w:val="24"/>
            </w:rPr>
            <w:t>Didacticae</w:t>
          </w:r>
          <w:proofErr w:type="spellEnd"/>
          <w:r w:rsidRPr="0048355C">
            <w:rPr>
              <w:rFonts w:ascii="Palatino Linotype" w:hAnsi="Palatino Linotype" w:cs="Calibri"/>
              <w:color w:val="000000"/>
              <w:sz w:val="24"/>
              <w:szCs w:val="24"/>
            </w:rPr>
            <w:t xml:space="preserve">, no. 1, 2017,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10.1344/did.2017.1.60-76.</w:t>
          </w:r>
        </w:p>
        <w:p w14:paraId="6F213646" w14:textId="77777777" w:rsidR="0078405D" w:rsidRPr="0048355C" w:rsidRDefault="0078405D" w:rsidP="0048355C">
          <w:pPr>
            <w:pStyle w:val="ListParagraph"/>
            <w:numPr>
              <w:ilvl w:val="0"/>
              <w:numId w:val="1"/>
            </w:numPr>
            <w:autoSpaceDE w:val="0"/>
            <w:autoSpaceDN w:val="0"/>
            <w:ind w:left="284" w:hanging="491"/>
            <w:jc w:val="both"/>
            <w:divId w:val="1819151214"/>
            <w:rPr>
              <w:rFonts w:ascii="Palatino Linotype" w:hAnsi="Palatino Linotype" w:cs="Calibri"/>
              <w:color w:val="000000"/>
              <w:sz w:val="24"/>
              <w:szCs w:val="24"/>
            </w:rPr>
          </w:pPr>
          <w:r w:rsidRPr="0048355C">
            <w:rPr>
              <w:rFonts w:ascii="Palatino Linotype" w:hAnsi="Palatino Linotype" w:cs="Calibri"/>
              <w:color w:val="000000"/>
              <w:sz w:val="24"/>
              <w:szCs w:val="24"/>
            </w:rPr>
            <w:lastRenderedPageBreak/>
            <w:t>[3]</w:t>
          </w:r>
          <w:r w:rsidRPr="0048355C">
            <w:rPr>
              <w:rFonts w:ascii="Palatino Linotype" w:hAnsi="Palatino Linotype" w:cs="Calibri"/>
              <w:color w:val="000000"/>
              <w:sz w:val="24"/>
              <w:szCs w:val="24"/>
            </w:rPr>
            <w:tab/>
            <w:t xml:space="preserve">A. Petersen, “Developing Students’ Intuition on the Impact of Correlated Outcomes,” </w:t>
          </w:r>
          <w:r w:rsidRPr="0048355C">
            <w:rPr>
              <w:rFonts w:ascii="Palatino Linotype" w:hAnsi="Palatino Linotype" w:cs="Calibri"/>
              <w:i/>
              <w:iCs/>
              <w:color w:val="000000"/>
              <w:sz w:val="24"/>
              <w:szCs w:val="24"/>
            </w:rPr>
            <w:t>Journal of Statistics and Data Science Education</w:t>
          </w:r>
          <w:r w:rsidRPr="0048355C">
            <w:rPr>
              <w:rFonts w:ascii="Palatino Linotype" w:hAnsi="Palatino Linotype" w:cs="Calibri"/>
              <w:color w:val="000000"/>
              <w:sz w:val="24"/>
              <w:szCs w:val="24"/>
            </w:rPr>
            <w:t xml:space="preserve">, vol. 30, no. 2, pp. 154–164, May 2022,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10.1080/26939169.2022.2074584.</w:t>
          </w:r>
        </w:p>
        <w:p w14:paraId="682C19FB" w14:textId="77777777" w:rsidR="0078405D" w:rsidRPr="0048355C" w:rsidRDefault="0078405D" w:rsidP="0048355C">
          <w:pPr>
            <w:pStyle w:val="ListParagraph"/>
            <w:numPr>
              <w:ilvl w:val="0"/>
              <w:numId w:val="1"/>
            </w:numPr>
            <w:autoSpaceDE w:val="0"/>
            <w:autoSpaceDN w:val="0"/>
            <w:ind w:left="284" w:hanging="491"/>
            <w:jc w:val="both"/>
            <w:divId w:val="835924354"/>
            <w:rPr>
              <w:rFonts w:ascii="Palatino Linotype" w:hAnsi="Palatino Linotype" w:cs="Calibri"/>
              <w:color w:val="000000"/>
              <w:sz w:val="24"/>
              <w:szCs w:val="24"/>
            </w:rPr>
          </w:pPr>
          <w:r w:rsidRPr="0048355C">
            <w:rPr>
              <w:rFonts w:ascii="Palatino Linotype" w:hAnsi="Palatino Linotype" w:cs="Calibri"/>
              <w:color w:val="000000"/>
              <w:sz w:val="24"/>
              <w:szCs w:val="24"/>
            </w:rPr>
            <w:t>[4]</w:t>
          </w:r>
          <w:r w:rsidRPr="0048355C">
            <w:rPr>
              <w:rFonts w:ascii="Palatino Linotype" w:hAnsi="Palatino Linotype" w:cs="Calibri"/>
              <w:color w:val="000000"/>
              <w:sz w:val="24"/>
              <w:szCs w:val="24"/>
            </w:rPr>
            <w:tab/>
            <w:t xml:space="preserve">N. Suharto, S. </w:t>
          </w:r>
          <w:proofErr w:type="spellStart"/>
          <w:r w:rsidRPr="0048355C">
            <w:rPr>
              <w:rFonts w:ascii="Palatino Linotype" w:hAnsi="Palatino Linotype" w:cs="Calibri"/>
              <w:color w:val="000000"/>
              <w:sz w:val="24"/>
              <w:szCs w:val="24"/>
            </w:rPr>
            <w:t>Sukmawati</w:t>
          </w:r>
          <w:proofErr w:type="spellEnd"/>
          <w:r w:rsidRPr="0048355C">
            <w:rPr>
              <w:rFonts w:ascii="Palatino Linotype" w:hAnsi="Palatino Linotype" w:cs="Calibri"/>
              <w:color w:val="000000"/>
              <w:sz w:val="24"/>
              <w:szCs w:val="24"/>
            </w:rPr>
            <w:t xml:space="preserve">, and M. </w:t>
          </w:r>
          <w:proofErr w:type="spellStart"/>
          <w:r w:rsidRPr="0048355C">
            <w:rPr>
              <w:rFonts w:ascii="Palatino Linotype" w:hAnsi="Palatino Linotype" w:cs="Calibri"/>
              <w:color w:val="000000"/>
              <w:sz w:val="24"/>
              <w:szCs w:val="24"/>
            </w:rPr>
            <w:t>Assaibin</w:t>
          </w:r>
          <w:proofErr w:type="spellEnd"/>
          <w:r w:rsidRPr="0048355C">
            <w:rPr>
              <w:rFonts w:ascii="Palatino Linotype" w:hAnsi="Palatino Linotype" w:cs="Calibri"/>
              <w:color w:val="000000"/>
              <w:sz w:val="24"/>
              <w:szCs w:val="24"/>
            </w:rPr>
            <w:t xml:space="preserve">, “Ethnomathematics-Based Contextual Learning to Improve Students’ Mathematical Reasoning Ability,” </w:t>
          </w:r>
          <w:proofErr w:type="spellStart"/>
          <w:r w:rsidRPr="0048355C">
            <w:rPr>
              <w:rFonts w:ascii="Palatino Linotype" w:hAnsi="Palatino Linotype" w:cs="Calibri"/>
              <w:i/>
              <w:iCs/>
              <w:color w:val="000000"/>
              <w:sz w:val="24"/>
              <w:szCs w:val="24"/>
            </w:rPr>
            <w:t>Kognitif</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Jurnal</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Riset</w:t>
          </w:r>
          <w:proofErr w:type="spellEnd"/>
          <w:r w:rsidRPr="0048355C">
            <w:rPr>
              <w:rFonts w:ascii="Palatino Linotype" w:hAnsi="Palatino Linotype" w:cs="Calibri"/>
              <w:i/>
              <w:iCs/>
              <w:color w:val="000000"/>
              <w:sz w:val="24"/>
              <w:szCs w:val="24"/>
            </w:rPr>
            <w:t xml:space="preserve"> HOTS Pendidikan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color w:val="000000"/>
              <w:sz w:val="24"/>
              <w:szCs w:val="24"/>
            </w:rPr>
            <w:t xml:space="preserve">, vol. 6, no. 2, pp. 552–564, May 2026,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10.51574/kognitif.v6i2.5005.</w:t>
          </w:r>
        </w:p>
        <w:p w14:paraId="7EEDAA71" w14:textId="77777777" w:rsidR="0078405D" w:rsidRPr="0048355C" w:rsidRDefault="0078405D" w:rsidP="0048355C">
          <w:pPr>
            <w:pStyle w:val="ListParagraph"/>
            <w:numPr>
              <w:ilvl w:val="0"/>
              <w:numId w:val="1"/>
            </w:numPr>
            <w:autoSpaceDE w:val="0"/>
            <w:autoSpaceDN w:val="0"/>
            <w:ind w:left="284" w:hanging="491"/>
            <w:jc w:val="both"/>
            <w:divId w:val="202981588"/>
            <w:rPr>
              <w:rFonts w:ascii="Palatino Linotype" w:hAnsi="Palatino Linotype" w:cs="Calibri"/>
              <w:color w:val="000000"/>
              <w:sz w:val="24"/>
              <w:szCs w:val="24"/>
            </w:rPr>
          </w:pPr>
          <w:r w:rsidRPr="0048355C">
            <w:rPr>
              <w:rFonts w:ascii="Palatino Linotype" w:hAnsi="Palatino Linotype" w:cs="Calibri"/>
              <w:color w:val="000000"/>
              <w:sz w:val="24"/>
              <w:szCs w:val="24"/>
            </w:rPr>
            <w:t>[5]</w:t>
          </w:r>
          <w:r w:rsidRPr="0048355C">
            <w:rPr>
              <w:rFonts w:ascii="Palatino Linotype" w:hAnsi="Palatino Linotype" w:cs="Calibri"/>
              <w:color w:val="000000"/>
              <w:sz w:val="24"/>
              <w:szCs w:val="24"/>
            </w:rPr>
            <w:tab/>
            <w:t xml:space="preserve">M. </w:t>
          </w:r>
          <w:proofErr w:type="spellStart"/>
          <w:r w:rsidRPr="0048355C">
            <w:rPr>
              <w:rFonts w:ascii="Palatino Linotype" w:hAnsi="Palatino Linotype" w:cs="Calibri"/>
              <w:color w:val="000000"/>
              <w:sz w:val="24"/>
              <w:szCs w:val="24"/>
            </w:rPr>
            <w:t>Bächtold</w:t>
          </w:r>
          <w:proofErr w:type="spellEnd"/>
          <w:r w:rsidRPr="0048355C">
            <w:rPr>
              <w:rFonts w:ascii="Palatino Linotype" w:hAnsi="Palatino Linotype" w:cs="Calibri"/>
              <w:color w:val="000000"/>
              <w:sz w:val="24"/>
              <w:szCs w:val="24"/>
            </w:rPr>
            <w:t xml:space="preserve">, P. Roca, and K. De Checchi, “Students’ beliefs and attitudes towards cooperative learning, and their relationship to motivation and approach to learning,” </w:t>
          </w:r>
          <w:r w:rsidRPr="0048355C">
            <w:rPr>
              <w:rFonts w:ascii="Palatino Linotype" w:hAnsi="Palatino Linotype" w:cs="Calibri"/>
              <w:i/>
              <w:iCs/>
              <w:color w:val="000000"/>
              <w:sz w:val="24"/>
              <w:szCs w:val="24"/>
            </w:rPr>
            <w:t>Studies in Higher Education</w:t>
          </w:r>
          <w:r w:rsidRPr="0048355C">
            <w:rPr>
              <w:rFonts w:ascii="Palatino Linotype" w:hAnsi="Palatino Linotype" w:cs="Calibri"/>
              <w:color w:val="000000"/>
              <w:sz w:val="24"/>
              <w:szCs w:val="24"/>
            </w:rPr>
            <w:t xml:space="preserve">, vol. 48, no. 1, pp. 100–112, Jan. 2023,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10.1080/03075079.2022.2112028.</w:t>
          </w:r>
        </w:p>
        <w:p w14:paraId="7EB09F57" w14:textId="77777777" w:rsidR="0078405D" w:rsidRPr="0048355C" w:rsidRDefault="0078405D" w:rsidP="0048355C">
          <w:pPr>
            <w:pStyle w:val="ListParagraph"/>
            <w:numPr>
              <w:ilvl w:val="0"/>
              <w:numId w:val="1"/>
            </w:numPr>
            <w:autoSpaceDE w:val="0"/>
            <w:autoSpaceDN w:val="0"/>
            <w:ind w:left="284" w:hanging="491"/>
            <w:jc w:val="both"/>
            <w:divId w:val="926158172"/>
            <w:rPr>
              <w:rFonts w:ascii="Palatino Linotype" w:hAnsi="Palatino Linotype" w:cs="Calibri"/>
              <w:color w:val="000000"/>
              <w:sz w:val="24"/>
              <w:szCs w:val="24"/>
            </w:rPr>
          </w:pPr>
          <w:r w:rsidRPr="0048355C">
            <w:rPr>
              <w:rFonts w:ascii="Palatino Linotype" w:hAnsi="Palatino Linotype" w:cs="Calibri"/>
              <w:color w:val="000000"/>
              <w:sz w:val="24"/>
              <w:szCs w:val="24"/>
            </w:rPr>
            <w:t>[6]</w:t>
          </w:r>
          <w:r w:rsidRPr="0048355C">
            <w:rPr>
              <w:rFonts w:ascii="Palatino Linotype" w:hAnsi="Palatino Linotype" w:cs="Calibri"/>
              <w:color w:val="000000"/>
              <w:sz w:val="24"/>
              <w:szCs w:val="24"/>
            </w:rPr>
            <w:tab/>
            <w:t xml:space="preserve">J. G. Tullis and R. L. Goldstone, “Why does peer instruction benefit student learning?,” </w:t>
          </w:r>
          <w:proofErr w:type="spellStart"/>
          <w:r w:rsidRPr="0048355C">
            <w:rPr>
              <w:rFonts w:ascii="Palatino Linotype" w:hAnsi="Palatino Linotype" w:cs="Calibri"/>
              <w:i/>
              <w:iCs/>
              <w:color w:val="000000"/>
              <w:sz w:val="24"/>
              <w:szCs w:val="24"/>
            </w:rPr>
            <w:t>Cogn</w:t>
          </w:r>
          <w:proofErr w:type="spellEnd"/>
          <w:r w:rsidRPr="0048355C">
            <w:rPr>
              <w:rFonts w:ascii="Palatino Linotype" w:hAnsi="Palatino Linotype" w:cs="Calibri"/>
              <w:i/>
              <w:iCs/>
              <w:color w:val="000000"/>
              <w:sz w:val="24"/>
              <w:szCs w:val="24"/>
            </w:rPr>
            <w:t xml:space="preserve">. Res. </w:t>
          </w:r>
          <w:proofErr w:type="spellStart"/>
          <w:r w:rsidRPr="0048355C">
            <w:rPr>
              <w:rFonts w:ascii="Palatino Linotype" w:hAnsi="Palatino Linotype" w:cs="Calibri"/>
              <w:i/>
              <w:iCs/>
              <w:color w:val="000000"/>
              <w:sz w:val="24"/>
              <w:szCs w:val="24"/>
            </w:rPr>
            <w:t>Princ</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Implic</w:t>
          </w:r>
          <w:proofErr w:type="spellEnd"/>
          <w:r w:rsidRPr="0048355C">
            <w:rPr>
              <w:rFonts w:ascii="Palatino Linotype" w:hAnsi="Palatino Linotype" w:cs="Calibri"/>
              <w:i/>
              <w:iCs/>
              <w:color w:val="000000"/>
              <w:sz w:val="24"/>
              <w:szCs w:val="24"/>
            </w:rPr>
            <w:t>.</w:t>
          </w:r>
          <w:r w:rsidRPr="0048355C">
            <w:rPr>
              <w:rFonts w:ascii="Palatino Linotype" w:hAnsi="Palatino Linotype" w:cs="Calibri"/>
              <w:color w:val="000000"/>
              <w:sz w:val="24"/>
              <w:szCs w:val="24"/>
            </w:rPr>
            <w:t xml:space="preserve">, vol. 5, no. 1, p. 15, Dec. 2020,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10.1186/s41235-020-00218-5.</w:t>
          </w:r>
        </w:p>
        <w:p w14:paraId="58DDDB31" w14:textId="77777777" w:rsidR="0078405D" w:rsidRPr="0048355C" w:rsidRDefault="0078405D" w:rsidP="0048355C">
          <w:pPr>
            <w:pStyle w:val="ListParagraph"/>
            <w:numPr>
              <w:ilvl w:val="0"/>
              <w:numId w:val="1"/>
            </w:numPr>
            <w:autoSpaceDE w:val="0"/>
            <w:autoSpaceDN w:val="0"/>
            <w:ind w:left="284" w:hanging="491"/>
            <w:jc w:val="both"/>
            <w:divId w:val="962998235"/>
            <w:rPr>
              <w:rFonts w:ascii="Palatino Linotype" w:hAnsi="Palatino Linotype" w:cs="Calibri"/>
              <w:color w:val="000000"/>
              <w:sz w:val="24"/>
              <w:szCs w:val="24"/>
            </w:rPr>
          </w:pPr>
          <w:r w:rsidRPr="0048355C">
            <w:rPr>
              <w:rFonts w:ascii="Palatino Linotype" w:hAnsi="Palatino Linotype" w:cs="Calibri"/>
              <w:color w:val="000000"/>
              <w:sz w:val="24"/>
              <w:szCs w:val="24"/>
            </w:rPr>
            <w:t>[7]</w:t>
          </w:r>
          <w:r w:rsidRPr="0048355C">
            <w:rPr>
              <w:rFonts w:ascii="Palatino Linotype" w:hAnsi="Palatino Linotype" w:cs="Calibri"/>
              <w:color w:val="000000"/>
              <w:sz w:val="24"/>
              <w:szCs w:val="24"/>
            </w:rPr>
            <w:tab/>
            <w:t xml:space="preserve">N. </w:t>
          </w:r>
          <w:proofErr w:type="spellStart"/>
          <w:r w:rsidRPr="0048355C">
            <w:rPr>
              <w:rFonts w:ascii="Palatino Linotype" w:hAnsi="Palatino Linotype" w:cs="Calibri"/>
              <w:color w:val="000000"/>
              <w:sz w:val="24"/>
              <w:szCs w:val="24"/>
            </w:rPr>
            <w:t>Michinov</w:t>
          </w:r>
          <w:proofErr w:type="spellEnd"/>
          <w:r w:rsidRPr="0048355C">
            <w:rPr>
              <w:rFonts w:ascii="Palatino Linotype" w:hAnsi="Palatino Linotype" w:cs="Calibri"/>
              <w:color w:val="000000"/>
              <w:sz w:val="24"/>
              <w:szCs w:val="24"/>
            </w:rPr>
            <w:t xml:space="preserve">, É. Anquetil, and E. </w:t>
          </w:r>
          <w:proofErr w:type="spellStart"/>
          <w:r w:rsidRPr="0048355C">
            <w:rPr>
              <w:rFonts w:ascii="Palatino Linotype" w:hAnsi="Palatino Linotype" w:cs="Calibri"/>
              <w:color w:val="000000"/>
              <w:sz w:val="24"/>
              <w:szCs w:val="24"/>
            </w:rPr>
            <w:t>Michinov</w:t>
          </w:r>
          <w:proofErr w:type="spellEnd"/>
          <w:r w:rsidRPr="0048355C">
            <w:rPr>
              <w:rFonts w:ascii="Palatino Linotype" w:hAnsi="Palatino Linotype" w:cs="Calibri"/>
              <w:color w:val="000000"/>
              <w:sz w:val="24"/>
              <w:szCs w:val="24"/>
            </w:rPr>
            <w:t xml:space="preserve">, “Guiding the use of collective feedback displayed on heatmaps to reduce group conformity and improve learning in Peer Instruction,” </w:t>
          </w:r>
          <w:r w:rsidRPr="0048355C">
            <w:rPr>
              <w:rFonts w:ascii="Palatino Linotype" w:hAnsi="Palatino Linotype" w:cs="Calibri"/>
              <w:i/>
              <w:iCs/>
              <w:color w:val="000000"/>
              <w:sz w:val="24"/>
              <w:szCs w:val="24"/>
            </w:rPr>
            <w:t xml:space="preserve">J. </w:t>
          </w:r>
          <w:proofErr w:type="spellStart"/>
          <w:r w:rsidRPr="0048355C">
            <w:rPr>
              <w:rFonts w:ascii="Palatino Linotype" w:hAnsi="Palatino Linotype" w:cs="Calibri"/>
              <w:i/>
              <w:iCs/>
              <w:color w:val="000000"/>
              <w:sz w:val="24"/>
              <w:szCs w:val="24"/>
            </w:rPr>
            <w:t>Comput</w:t>
          </w:r>
          <w:proofErr w:type="spellEnd"/>
          <w:r w:rsidRPr="0048355C">
            <w:rPr>
              <w:rFonts w:ascii="Palatino Linotype" w:hAnsi="Palatino Linotype" w:cs="Calibri"/>
              <w:i/>
              <w:iCs/>
              <w:color w:val="000000"/>
              <w:sz w:val="24"/>
              <w:szCs w:val="24"/>
            </w:rPr>
            <w:t>. Assist. Learn.</w:t>
          </w:r>
          <w:r w:rsidRPr="0048355C">
            <w:rPr>
              <w:rFonts w:ascii="Palatino Linotype" w:hAnsi="Palatino Linotype" w:cs="Calibri"/>
              <w:color w:val="000000"/>
              <w:sz w:val="24"/>
              <w:szCs w:val="24"/>
            </w:rPr>
            <w:t xml:space="preserve">, vol. 36, no. 6, pp. 1026–1037, Dec. 2020,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10.1111/jcal.12457.</w:t>
          </w:r>
        </w:p>
        <w:p w14:paraId="522EDA1D" w14:textId="77777777" w:rsidR="0078405D" w:rsidRPr="0048355C" w:rsidRDefault="0078405D" w:rsidP="0048355C">
          <w:pPr>
            <w:pStyle w:val="ListParagraph"/>
            <w:numPr>
              <w:ilvl w:val="0"/>
              <w:numId w:val="1"/>
            </w:numPr>
            <w:autoSpaceDE w:val="0"/>
            <w:autoSpaceDN w:val="0"/>
            <w:ind w:left="284" w:hanging="491"/>
            <w:jc w:val="both"/>
            <w:divId w:val="1607350698"/>
            <w:rPr>
              <w:rFonts w:ascii="Palatino Linotype" w:hAnsi="Palatino Linotype" w:cs="Calibri"/>
              <w:color w:val="000000"/>
              <w:sz w:val="24"/>
              <w:szCs w:val="24"/>
            </w:rPr>
          </w:pPr>
          <w:r w:rsidRPr="0048355C">
            <w:rPr>
              <w:rFonts w:ascii="Palatino Linotype" w:hAnsi="Palatino Linotype" w:cs="Calibri"/>
              <w:color w:val="000000"/>
              <w:sz w:val="24"/>
              <w:szCs w:val="24"/>
            </w:rPr>
            <w:t>[8]</w:t>
          </w:r>
          <w:r w:rsidRPr="0048355C">
            <w:rPr>
              <w:rFonts w:ascii="Palatino Linotype" w:hAnsi="Palatino Linotype" w:cs="Calibri"/>
              <w:color w:val="000000"/>
              <w:sz w:val="24"/>
              <w:szCs w:val="24"/>
            </w:rPr>
            <w:tab/>
            <w:t xml:space="preserve">L. </w:t>
          </w:r>
          <w:proofErr w:type="spellStart"/>
          <w:r w:rsidRPr="0048355C">
            <w:rPr>
              <w:rFonts w:ascii="Palatino Linotype" w:hAnsi="Palatino Linotype" w:cs="Calibri"/>
              <w:color w:val="000000"/>
              <w:sz w:val="24"/>
              <w:szCs w:val="24"/>
            </w:rPr>
            <w:t>Mundelsee</w:t>
          </w:r>
          <w:proofErr w:type="spellEnd"/>
          <w:r w:rsidRPr="0048355C">
            <w:rPr>
              <w:rFonts w:ascii="Palatino Linotype" w:hAnsi="Palatino Linotype" w:cs="Calibri"/>
              <w:color w:val="000000"/>
              <w:sz w:val="24"/>
              <w:szCs w:val="24"/>
            </w:rPr>
            <w:t xml:space="preserve"> and S. </w:t>
          </w:r>
          <w:proofErr w:type="spellStart"/>
          <w:r w:rsidRPr="0048355C">
            <w:rPr>
              <w:rFonts w:ascii="Palatino Linotype" w:hAnsi="Palatino Linotype" w:cs="Calibri"/>
              <w:color w:val="000000"/>
              <w:sz w:val="24"/>
              <w:szCs w:val="24"/>
            </w:rPr>
            <w:t>Jurkowski</w:t>
          </w:r>
          <w:proofErr w:type="spellEnd"/>
          <w:r w:rsidRPr="0048355C">
            <w:rPr>
              <w:rFonts w:ascii="Palatino Linotype" w:hAnsi="Palatino Linotype" w:cs="Calibri"/>
              <w:color w:val="000000"/>
              <w:sz w:val="24"/>
              <w:szCs w:val="24"/>
            </w:rPr>
            <w:t xml:space="preserve">, “Think and pair before share: Effects of collaboration on students’ in-class participation,” </w:t>
          </w:r>
          <w:r w:rsidRPr="0048355C">
            <w:rPr>
              <w:rFonts w:ascii="Palatino Linotype" w:hAnsi="Palatino Linotype" w:cs="Calibri"/>
              <w:i/>
              <w:iCs/>
              <w:color w:val="000000"/>
              <w:sz w:val="24"/>
              <w:szCs w:val="24"/>
            </w:rPr>
            <w:t xml:space="preserve">Learn. </w:t>
          </w:r>
          <w:proofErr w:type="spellStart"/>
          <w:r w:rsidRPr="0048355C">
            <w:rPr>
              <w:rFonts w:ascii="Palatino Linotype" w:hAnsi="Palatino Linotype" w:cs="Calibri"/>
              <w:i/>
              <w:iCs/>
              <w:color w:val="000000"/>
              <w:sz w:val="24"/>
              <w:szCs w:val="24"/>
            </w:rPr>
            <w:t>Individ</w:t>
          </w:r>
          <w:proofErr w:type="spellEnd"/>
          <w:r w:rsidRPr="0048355C">
            <w:rPr>
              <w:rFonts w:ascii="Palatino Linotype" w:hAnsi="Palatino Linotype" w:cs="Calibri"/>
              <w:i/>
              <w:iCs/>
              <w:color w:val="000000"/>
              <w:sz w:val="24"/>
              <w:szCs w:val="24"/>
            </w:rPr>
            <w:t>. Differ.</w:t>
          </w:r>
          <w:r w:rsidRPr="0048355C">
            <w:rPr>
              <w:rFonts w:ascii="Palatino Linotype" w:hAnsi="Palatino Linotype" w:cs="Calibri"/>
              <w:color w:val="000000"/>
              <w:sz w:val="24"/>
              <w:szCs w:val="24"/>
            </w:rPr>
            <w:t xml:space="preserve">, vol. 88, p. 102015, May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10.1016/j.lindif.2021.102015.</w:t>
          </w:r>
        </w:p>
        <w:p w14:paraId="6A727947" w14:textId="77777777" w:rsidR="0078405D" w:rsidRPr="0048355C" w:rsidRDefault="0078405D" w:rsidP="0048355C">
          <w:pPr>
            <w:pStyle w:val="ListParagraph"/>
            <w:numPr>
              <w:ilvl w:val="0"/>
              <w:numId w:val="1"/>
            </w:numPr>
            <w:autoSpaceDE w:val="0"/>
            <w:autoSpaceDN w:val="0"/>
            <w:ind w:left="284" w:hanging="491"/>
            <w:jc w:val="both"/>
            <w:divId w:val="1013459761"/>
            <w:rPr>
              <w:rFonts w:ascii="Palatino Linotype" w:hAnsi="Palatino Linotype" w:cs="Calibri"/>
              <w:color w:val="000000"/>
              <w:sz w:val="24"/>
              <w:szCs w:val="24"/>
            </w:rPr>
          </w:pPr>
          <w:r w:rsidRPr="0048355C">
            <w:rPr>
              <w:rFonts w:ascii="Palatino Linotype" w:hAnsi="Palatino Linotype" w:cs="Calibri"/>
              <w:color w:val="000000"/>
              <w:sz w:val="24"/>
              <w:szCs w:val="24"/>
            </w:rPr>
            <w:t>[9]</w:t>
          </w:r>
          <w:r w:rsidRPr="0048355C">
            <w:rPr>
              <w:rFonts w:ascii="Palatino Linotype" w:hAnsi="Palatino Linotype" w:cs="Calibri"/>
              <w:color w:val="000000"/>
              <w:sz w:val="24"/>
              <w:szCs w:val="24"/>
            </w:rPr>
            <w:tab/>
            <w:t xml:space="preserve">N. H. </w:t>
          </w:r>
          <w:proofErr w:type="spellStart"/>
          <w:r w:rsidRPr="0048355C">
            <w:rPr>
              <w:rFonts w:ascii="Palatino Linotype" w:hAnsi="Palatino Linotype" w:cs="Calibri"/>
              <w:color w:val="000000"/>
              <w:sz w:val="24"/>
              <w:szCs w:val="24"/>
            </w:rPr>
            <w:t>Marhaeni</w:t>
          </w:r>
          <w:proofErr w:type="spellEnd"/>
          <w:r w:rsidRPr="0048355C">
            <w:rPr>
              <w:rFonts w:ascii="Palatino Linotype" w:hAnsi="Palatino Linotype" w:cs="Calibri"/>
              <w:color w:val="000000"/>
              <w:sz w:val="24"/>
              <w:szCs w:val="24"/>
            </w:rPr>
            <w:t xml:space="preserve">, S. V. Ramos, T. </w:t>
          </w:r>
          <w:proofErr w:type="spellStart"/>
          <w:r w:rsidRPr="0048355C">
            <w:rPr>
              <w:rFonts w:ascii="Palatino Linotype" w:hAnsi="Palatino Linotype" w:cs="Calibri"/>
              <w:color w:val="000000"/>
              <w:sz w:val="24"/>
              <w:szCs w:val="24"/>
            </w:rPr>
            <w:t>Triyadi</w:t>
          </w:r>
          <w:proofErr w:type="spellEnd"/>
          <w:r w:rsidRPr="0048355C">
            <w:rPr>
              <w:rFonts w:ascii="Palatino Linotype" w:hAnsi="Palatino Linotype" w:cs="Calibri"/>
              <w:color w:val="000000"/>
              <w:sz w:val="24"/>
              <w:szCs w:val="24"/>
            </w:rPr>
            <w:t xml:space="preserve">, and B. </w:t>
          </w:r>
          <w:proofErr w:type="spellStart"/>
          <w:r w:rsidRPr="0048355C">
            <w:rPr>
              <w:rFonts w:ascii="Palatino Linotype" w:hAnsi="Palatino Linotype" w:cs="Calibri"/>
              <w:color w:val="000000"/>
              <w:sz w:val="24"/>
              <w:szCs w:val="24"/>
            </w:rPr>
            <w:t>Sudarmaji</w:t>
          </w:r>
          <w:proofErr w:type="spellEnd"/>
          <w:r w:rsidRPr="0048355C">
            <w:rPr>
              <w:rFonts w:ascii="Palatino Linotype" w:hAnsi="Palatino Linotype" w:cs="Calibri"/>
              <w:color w:val="000000"/>
              <w:sz w:val="24"/>
              <w:szCs w:val="24"/>
            </w:rPr>
            <w:t xml:space="preserve">, “The Effect of Think Pair Share Learning Model to Improve </w:t>
          </w:r>
          <w:proofErr w:type="spellStart"/>
          <w:r w:rsidRPr="0048355C">
            <w:rPr>
              <w:rFonts w:ascii="Palatino Linotype" w:hAnsi="Palatino Linotype" w:cs="Calibri"/>
              <w:color w:val="000000"/>
              <w:sz w:val="24"/>
              <w:szCs w:val="24"/>
            </w:rPr>
            <w:t>Studentâ€</w:t>
          </w:r>
          <w:r w:rsidRPr="0048355C">
            <w:rPr>
              <w:rFonts w:ascii="Palatino Linotype" w:hAnsi="Palatino Linotype" w:cs="Calibri"/>
              <w:color w:val="000000"/>
              <w:sz w:val="24"/>
              <w:szCs w:val="24"/>
              <w:vertAlign w:val="superscript"/>
            </w:rPr>
            <w:t>TM</w:t>
          </w:r>
          <w:r w:rsidRPr="0048355C">
            <w:rPr>
              <w:rFonts w:ascii="Palatino Linotype" w:hAnsi="Palatino Linotype" w:cs="Calibri"/>
              <w:color w:val="000000"/>
              <w:sz w:val="24"/>
              <w:szCs w:val="24"/>
            </w:rPr>
            <w:t>s</w:t>
          </w:r>
          <w:proofErr w:type="spellEnd"/>
          <w:r w:rsidRPr="0048355C">
            <w:rPr>
              <w:rFonts w:ascii="Palatino Linotype" w:hAnsi="Palatino Linotype" w:cs="Calibri"/>
              <w:color w:val="000000"/>
              <w:sz w:val="24"/>
              <w:szCs w:val="24"/>
            </w:rPr>
            <w:t xml:space="preserve"> Problem-Solving Ability,” </w:t>
          </w:r>
          <w:proofErr w:type="spellStart"/>
          <w:r w:rsidRPr="0048355C">
            <w:rPr>
              <w:rFonts w:ascii="Palatino Linotype" w:hAnsi="Palatino Linotype" w:cs="Calibri"/>
              <w:i/>
              <w:iCs/>
              <w:color w:val="000000"/>
              <w:sz w:val="24"/>
              <w:szCs w:val="24"/>
            </w:rPr>
            <w:t>Jurnal</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Mercumatika</w:t>
          </w:r>
          <w:proofErr w:type="spellEnd"/>
          <w:r w:rsidRPr="0048355C">
            <w:rPr>
              <w:i/>
              <w:iCs/>
              <w:color w:val="000000"/>
              <w:sz w:val="24"/>
              <w:szCs w:val="24"/>
            </w:rPr>
            <w:t> </w:t>
          </w:r>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Jurnal</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Penelitian</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i/>
              <w:iCs/>
              <w:color w:val="000000"/>
              <w:sz w:val="24"/>
              <w:szCs w:val="24"/>
            </w:rPr>
            <w:t xml:space="preserve"> dan Pendidikan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color w:val="000000"/>
              <w:sz w:val="24"/>
              <w:szCs w:val="24"/>
            </w:rPr>
            <w:t xml:space="preserve">, vol. 6, no. 2, Nov. 2022,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10.26486/jm.v6i2.3032.</w:t>
          </w:r>
        </w:p>
        <w:p w14:paraId="44A38477" w14:textId="77777777" w:rsidR="0078405D" w:rsidRPr="0048355C" w:rsidRDefault="0078405D" w:rsidP="0048355C">
          <w:pPr>
            <w:pStyle w:val="ListParagraph"/>
            <w:numPr>
              <w:ilvl w:val="0"/>
              <w:numId w:val="1"/>
            </w:numPr>
            <w:autoSpaceDE w:val="0"/>
            <w:autoSpaceDN w:val="0"/>
            <w:ind w:left="284" w:hanging="491"/>
            <w:jc w:val="both"/>
            <w:divId w:val="1004630042"/>
            <w:rPr>
              <w:rFonts w:ascii="Palatino Linotype" w:hAnsi="Palatino Linotype" w:cs="Calibri"/>
              <w:color w:val="000000"/>
              <w:sz w:val="24"/>
              <w:szCs w:val="24"/>
            </w:rPr>
          </w:pPr>
          <w:r w:rsidRPr="0048355C">
            <w:rPr>
              <w:rFonts w:ascii="Palatino Linotype" w:hAnsi="Palatino Linotype" w:cs="Calibri"/>
              <w:color w:val="000000"/>
              <w:sz w:val="24"/>
              <w:szCs w:val="24"/>
            </w:rPr>
            <w:t>[10]</w:t>
          </w:r>
          <w:r w:rsidRPr="0048355C">
            <w:rPr>
              <w:rFonts w:ascii="Palatino Linotype" w:hAnsi="Palatino Linotype" w:cs="Calibri"/>
              <w:color w:val="000000"/>
              <w:sz w:val="24"/>
              <w:szCs w:val="24"/>
            </w:rPr>
            <w:tab/>
            <w:t xml:space="preserve">K. I. L. Storm, L. K. Reiss, E. A. Guenther, M. </w:t>
          </w:r>
          <w:proofErr w:type="spellStart"/>
          <w:r w:rsidRPr="0048355C">
            <w:rPr>
              <w:rFonts w:ascii="Palatino Linotype" w:hAnsi="Palatino Linotype" w:cs="Calibri"/>
              <w:color w:val="000000"/>
              <w:sz w:val="24"/>
              <w:szCs w:val="24"/>
            </w:rPr>
            <w:t>Clar</w:t>
          </w:r>
          <w:proofErr w:type="spellEnd"/>
          <w:r w:rsidRPr="0048355C">
            <w:rPr>
              <w:rFonts w:ascii="Palatino Linotype" w:hAnsi="Palatino Linotype" w:cs="Calibri"/>
              <w:color w:val="000000"/>
              <w:sz w:val="24"/>
              <w:szCs w:val="24"/>
            </w:rPr>
            <w:t xml:space="preserve">-Novak, and S. L. </w:t>
          </w:r>
          <w:proofErr w:type="spellStart"/>
          <w:r w:rsidRPr="0048355C">
            <w:rPr>
              <w:rFonts w:ascii="Palatino Linotype" w:hAnsi="Palatino Linotype" w:cs="Calibri"/>
              <w:color w:val="000000"/>
              <w:sz w:val="24"/>
              <w:szCs w:val="24"/>
            </w:rPr>
            <w:t>Muhr</w:t>
          </w:r>
          <w:proofErr w:type="spellEnd"/>
          <w:r w:rsidRPr="0048355C">
            <w:rPr>
              <w:rFonts w:ascii="Palatino Linotype" w:hAnsi="Palatino Linotype" w:cs="Calibri"/>
              <w:color w:val="000000"/>
              <w:sz w:val="24"/>
              <w:szCs w:val="24"/>
            </w:rPr>
            <w:t xml:space="preserve">, “Unconscious bias in the HRM literature: Towards a critical-reflexive approach,” </w:t>
          </w:r>
          <w:r w:rsidRPr="0048355C">
            <w:rPr>
              <w:rFonts w:ascii="Palatino Linotype" w:hAnsi="Palatino Linotype" w:cs="Calibri"/>
              <w:i/>
              <w:iCs/>
              <w:color w:val="000000"/>
              <w:sz w:val="24"/>
              <w:szCs w:val="24"/>
            </w:rPr>
            <w:t>Human Resource Management Review</w:t>
          </w:r>
          <w:r w:rsidRPr="0048355C">
            <w:rPr>
              <w:rFonts w:ascii="Palatino Linotype" w:hAnsi="Palatino Linotype" w:cs="Calibri"/>
              <w:color w:val="000000"/>
              <w:sz w:val="24"/>
              <w:szCs w:val="24"/>
            </w:rPr>
            <w:t xml:space="preserve">, vol. 33, no. 3, p. 100969, 2023,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https://doi.org/10.1016/j.hrmr.2023.100969.</w:t>
          </w:r>
        </w:p>
        <w:p w14:paraId="501DA3BE" w14:textId="77777777" w:rsidR="0078405D" w:rsidRPr="0048355C" w:rsidRDefault="0078405D" w:rsidP="0048355C">
          <w:pPr>
            <w:pStyle w:val="ListParagraph"/>
            <w:numPr>
              <w:ilvl w:val="0"/>
              <w:numId w:val="1"/>
            </w:numPr>
            <w:autoSpaceDE w:val="0"/>
            <w:autoSpaceDN w:val="0"/>
            <w:ind w:left="284" w:hanging="491"/>
            <w:jc w:val="both"/>
            <w:divId w:val="872501034"/>
            <w:rPr>
              <w:rFonts w:ascii="Palatino Linotype" w:hAnsi="Palatino Linotype" w:cs="Calibri"/>
              <w:color w:val="000000"/>
              <w:sz w:val="24"/>
              <w:szCs w:val="24"/>
            </w:rPr>
          </w:pPr>
          <w:r w:rsidRPr="0048355C">
            <w:rPr>
              <w:rFonts w:ascii="Palatino Linotype" w:hAnsi="Palatino Linotype" w:cs="Calibri"/>
              <w:color w:val="000000"/>
              <w:sz w:val="24"/>
              <w:szCs w:val="24"/>
            </w:rPr>
            <w:t>[11]</w:t>
          </w:r>
          <w:r w:rsidRPr="0048355C">
            <w:rPr>
              <w:rFonts w:ascii="Palatino Linotype" w:hAnsi="Palatino Linotype" w:cs="Calibri"/>
              <w:color w:val="000000"/>
              <w:sz w:val="24"/>
              <w:szCs w:val="24"/>
            </w:rPr>
            <w:tab/>
            <w:t xml:space="preserve">R. W. </w:t>
          </w:r>
          <w:proofErr w:type="spellStart"/>
          <w:r w:rsidRPr="0048355C">
            <w:rPr>
              <w:rFonts w:ascii="Palatino Linotype" w:hAnsi="Palatino Linotype" w:cs="Calibri"/>
              <w:color w:val="000000"/>
              <w:sz w:val="24"/>
              <w:szCs w:val="24"/>
            </w:rPr>
            <w:t>Khairunisa</w:t>
          </w:r>
          <w:proofErr w:type="spellEnd"/>
          <w:r w:rsidRPr="0048355C">
            <w:rPr>
              <w:rFonts w:ascii="Palatino Linotype" w:hAnsi="Palatino Linotype" w:cs="Calibri"/>
              <w:color w:val="000000"/>
              <w:sz w:val="24"/>
              <w:szCs w:val="24"/>
            </w:rPr>
            <w:t xml:space="preserve"> and Basuki, “</w:t>
          </w:r>
          <w:proofErr w:type="spellStart"/>
          <w:r w:rsidRPr="0048355C">
            <w:rPr>
              <w:rFonts w:ascii="Palatino Linotype" w:hAnsi="Palatino Linotype" w:cs="Calibri"/>
              <w:color w:val="000000"/>
              <w:sz w:val="24"/>
              <w:szCs w:val="24"/>
            </w:rPr>
            <w:t>Perbandingan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Kemampuan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Komunikasi</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Matematis</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Siswa</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antara</w:t>
          </w:r>
          <w:proofErr w:type="spellEnd"/>
          <w:r w:rsidRPr="0048355C">
            <w:rPr>
              <w:rFonts w:ascii="Palatino Linotype" w:hAnsi="Palatino Linotype" w:cs="Calibri"/>
              <w:color w:val="000000"/>
              <w:sz w:val="24"/>
              <w:szCs w:val="24"/>
            </w:rPr>
            <w:t xml:space="preserve"> Model </w:t>
          </w:r>
          <w:proofErr w:type="spellStart"/>
          <w:r w:rsidRPr="0048355C">
            <w:rPr>
              <w:rFonts w:ascii="Palatino Linotype" w:hAnsi="Palatino Linotype" w:cs="Calibri"/>
              <w:color w:val="000000"/>
              <w:sz w:val="24"/>
              <w:szCs w:val="24"/>
            </w:rPr>
            <w:t>Pembelajaran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Kooperatif</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Tipe</w:t>
          </w:r>
          <w:proofErr w:type="spellEnd"/>
          <w:r w:rsidRPr="0048355C">
            <w:rPr>
              <w:rFonts w:ascii="Palatino Linotype" w:hAnsi="Palatino Linotype" w:cs="Calibri"/>
              <w:color w:val="000000"/>
              <w:sz w:val="24"/>
              <w:szCs w:val="24"/>
            </w:rPr>
            <w:t xml:space="preserve"> TPS dan CIRC,” </w:t>
          </w:r>
          <w:proofErr w:type="spellStart"/>
          <w:r w:rsidRPr="0048355C">
            <w:rPr>
              <w:rFonts w:ascii="Palatino Linotype" w:hAnsi="Palatino Linotype" w:cs="Calibri"/>
              <w:i/>
              <w:iCs/>
              <w:color w:val="000000"/>
              <w:sz w:val="24"/>
              <w:szCs w:val="24"/>
            </w:rPr>
            <w:t>Plusminus</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Jurnal</w:t>
          </w:r>
          <w:proofErr w:type="spellEnd"/>
          <w:r w:rsidRPr="0048355C">
            <w:rPr>
              <w:rFonts w:ascii="Palatino Linotype" w:hAnsi="Palatino Linotype" w:cs="Calibri"/>
              <w:i/>
              <w:iCs/>
              <w:color w:val="000000"/>
              <w:sz w:val="24"/>
              <w:szCs w:val="24"/>
            </w:rPr>
            <w:t xml:space="preserve"> Pendidikan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color w:val="000000"/>
              <w:sz w:val="24"/>
              <w:szCs w:val="24"/>
            </w:rPr>
            <w:t xml:space="preserve">, vol. 1, no. 1, pp. 113–124, Mar.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10.31980/plusminus.v1i1.881.</w:t>
          </w:r>
        </w:p>
        <w:p w14:paraId="1C1F9A0D" w14:textId="77777777" w:rsidR="0078405D" w:rsidRPr="0048355C" w:rsidRDefault="0078405D" w:rsidP="0048355C">
          <w:pPr>
            <w:pStyle w:val="ListParagraph"/>
            <w:numPr>
              <w:ilvl w:val="0"/>
              <w:numId w:val="1"/>
            </w:numPr>
            <w:autoSpaceDE w:val="0"/>
            <w:autoSpaceDN w:val="0"/>
            <w:ind w:left="284" w:hanging="491"/>
            <w:jc w:val="both"/>
            <w:divId w:val="1930232105"/>
            <w:rPr>
              <w:rFonts w:ascii="Palatino Linotype" w:hAnsi="Palatino Linotype" w:cs="Calibri"/>
              <w:color w:val="000000"/>
              <w:sz w:val="24"/>
              <w:szCs w:val="24"/>
            </w:rPr>
          </w:pPr>
          <w:r w:rsidRPr="0048355C">
            <w:rPr>
              <w:rFonts w:ascii="Palatino Linotype" w:hAnsi="Palatino Linotype" w:cs="Calibri"/>
              <w:color w:val="000000"/>
              <w:sz w:val="24"/>
              <w:szCs w:val="24"/>
            </w:rPr>
            <w:t>[12]</w:t>
          </w:r>
          <w:r w:rsidRPr="0048355C">
            <w:rPr>
              <w:rFonts w:ascii="Palatino Linotype" w:hAnsi="Palatino Linotype" w:cs="Calibri"/>
              <w:color w:val="000000"/>
              <w:sz w:val="24"/>
              <w:szCs w:val="24"/>
            </w:rPr>
            <w:tab/>
            <w:t xml:space="preserve">M. </w:t>
          </w:r>
          <w:proofErr w:type="spellStart"/>
          <w:r w:rsidRPr="0048355C">
            <w:rPr>
              <w:rFonts w:ascii="Palatino Linotype" w:hAnsi="Palatino Linotype" w:cs="Calibri"/>
              <w:color w:val="000000"/>
              <w:sz w:val="24"/>
              <w:szCs w:val="24"/>
            </w:rPr>
            <w:t>Mernawati</w:t>
          </w:r>
          <w:proofErr w:type="spellEnd"/>
          <w:r w:rsidRPr="0048355C">
            <w:rPr>
              <w:rFonts w:ascii="Palatino Linotype" w:hAnsi="Palatino Linotype" w:cs="Calibri"/>
              <w:color w:val="000000"/>
              <w:sz w:val="24"/>
              <w:szCs w:val="24"/>
            </w:rPr>
            <w:t xml:space="preserve">, Y. N. </w:t>
          </w:r>
          <w:proofErr w:type="spellStart"/>
          <w:r w:rsidRPr="0048355C">
            <w:rPr>
              <w:rFonts w:ascii="Palatino Linotype" w:hAnsi="Palatino Linotype" w:cs="Calibri"/>
              <w:color w:val="000000"/>
              <w:sz w:val="24"/>
              <w:szCs w:val="24"/>
            </w:rPr>
            <w:t>Harahap</w:t>
          </w:r>
          <w:proofErr w:type="spellEnd"/>
          <w:r w:rsidRPr="0048355C">
            <w:rPr>
              <w:rFonts w:ascii="Palatino Linotype" w:hAnsi="Palatino Linotype" w:cs="Calibri"/>
              <w:color w:val="000000"/>
              <w:sz w:val="24"/>
              <w:szCs w:val="24"/>
            </w:rPr>
            <w:t>, and R. Susanti, “</w:t>
          </w:r>
          <w:proofErr w:type="spellStart"/>
          <w:r w:rsidRPr="0048355C">
            <w:rPr>
              <w:rFonts w:ascii="Palatino Linotype" w:hAnsi="Palatino Linotype" w:cs="Calibri"/>
              <w:color w:val="000000"/>
              <w:sz w:val="24"/>
              <w:szCs w:val="24"/>
            </w:rPr>
            <w:t>Pengaruh</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Kemampuan</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Komunikasi</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Matematika</w:t>
          </w:r>
          <w:proofErr w:type="spellEnd"/>
          <w:r w:rsidRPr="0048355C">
            <w:rPr>
              <w:rFonts w:ascii="Palatino Linotype" w:hAnsi="Palatino Linotype" w:cs="Calibri"/>
              <w:color w:val="000000"/>
              <w:sz w:val="24"/>
              <w:szCs w:val="24"/>
            </w:rPr>
            <w:t xml:space="preserve"> </w:t>
          </w:r>
          <w:proofErr w:type="spellStart"/>
          <w:r w:rsidRPr="0048355C">
            <w:rPr>
              <w:rFonts w:ascii="Palatino Linotype" w:hAnsi="Palatino Linotype" w:cs="Calibri"/>
              <w:color w:val="000000"/>
              <w:sz w:val="24"/>
              <w:szCs w:val="24"/>
            </w:rPr>
            <w:t>Melalui</w:t>
          </w:r>
          <w:proofErr w:type="spellEnd"/>
          <w:r w:rsidRPr="0048355C">
            <w:rPr>
              <w:rFonts w:ascii="Palatino Linotype" w:hAnsi="Palatino Linotype" w:cs="Calibri"/>
              <w:color w:val="000000"/>
              <w:sz w:val="24"/>
              <w:szCs w:val="24"/>
            </w:rPr>
            <w:t xml:space="preserve"> Model </w:t>
          </w:r>
          <w:proofErr w:type="spellStart"/>
          <w:r w:rsidRPr="0048355C">
            <w:rPr>
              <w:rFonts w:ascii="Palatino Linotype" w:hAnsi="Palatino Linotype" w:cs="Calibri"/>
              <w:color w:val="000000"/>
              <w:sz w:val="24"/>
              <w:szCs w:val="24"/>
            </w:rPr>
            <w:t>Pembelajaran</w:t>
          </w:r>
          <w:proofErr w:type="spellEnd"/>
          <w:r w:rsidRPr="0048355C">
            <w:rPr>
              <w:rFonts w:ascii="Palatino Linotype" w:hAnsi="Palatino Linotype" w:cs="Calibri"/>
              <w:color w:val="000000"/>
              <w:sz w:val="24"/>
              <w:szCs w:val="24"/>
            </w:rPr>
            <w:t xml:space="preserve"> Think Pair Share (TPS),” </w:t>
          </w:r>
          <w:r w:rsidRPr="0048355C">
            <w:rPr>
              <w:rFonts w:ascii="Palatino Linotype" w:hAnsi="Palatino Linotype" w:cs="Calibri"/>
              <w:i/>
              <w:iCs/>
              <w:color w:val="000000"/>
              <w:sz w:val="24"/>
              <w:szCs w:val="24"/>
            </w:rPr>
            <w:t xml:space="preserve">FARABI: </w:t>
          </w:r>
          <w:proofErr w:type="spellStart"/>
          <w:r w:rsidRPr="0048355C">
            <w:rPr>
              <w:rFonts w:ascii="Palatino Linotype" w:hAnsi="Palatino Linotype" w:cs="Calibri"/>
              <w:i/>
              <w:iCs/>
              <w:color w:val="000000"/>
              <w:sz w:val="24"/>
              <w:szCs w:val="24"/>
            </w:rPr>
            <w:t>Jurnal</w:t>
          </w:r>
          <w:proofErr w:type="spellEnd"/>
          <w:r w:rsidRPr="0048355C">
            <w:rPr>
              <w:rFonts w:ascii="Palatino Linotype" w:hAnsi="Palatino Linotype" w:cs="Calibri"/>
              <w:i/>
              <w:iCs/>
              <w:color w:val="000000"/>
              <w:sz w:val="24"/>
              <w:szCs w:val="24"/>
            </w:rPr>
            <w:t xml:space="preserve">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i/>
              <w:iCs/>
              <w:color w:val="000000"/>
              <w:sz w:val="24"/>
              <w:szCs w:val="24"/>
            </w:rPr>
            <w:t xml:space="preserve"> dan Pendidikan </w:t>
          </w:r>
          <w:proofErr w:type="spellStart"/>
          <w:r w:rsidRPr="0048355C">
            <w:rPr>
              <w:rFonts w:ascii="Palatino Linotype" w:hAnsi="Palatino Linotype" w:cs="Calibri"/>
              <w:i/>
              <w:iCs/>
              <w:color w:val="000000"/>
              <w:sz w:val="24"/>
              <w:szCs w:val="24"/>
            </w:rPr>
            <w:t>Matematika</w:t>
          </w:r>
          <w:proofErr w:type="spellEnd"/>
          <w:r w:rsidRPr="0048355C">
            <w:rPr>
              <w:rFonts w:ascii="Palatino Linotype" w:hAnsi="Palatino Linotype" w:cs="Calibri"/>
              <w:color w:val="000000"/>
              <w:sz w:val="24"/>
              <w:szCs w:val="24"/>
            </w:rPr>
            <w:t xml:space="preserve">, vol. 4, no. 1, pp. 74–79, Jun.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10.47662/farabi.v4i1.92.</w:t>
          </w:r>
        </w:p>
        <w:p w14:paraId="03659907" w14:textId="77777777" w:rsidR="0078405D" w:rsidRPr="0048355C" w:rsidRDefault="0078405D" w:rsidP="0048355C">
          <w:pPr>
            <w:pStyle w:val="ListParagraph"/>
            <w:numPr>
              <w:ilvl w:val="0"/>
              <w:numId w:val="1"/>
            </w:numPr>
            <w:autoSpaceDE w:val="0"/>
            <w:autoSpaceDN w:val="0"/>
            <w:ind w:left="284" w:hanging="491"/>
            <w:jc w:val="both"/>
            <w:divId w:val="1159494073"/>
            <w:rPr>
              <w:rFonts w:ascii="Palatino Linotype" w:hAnsi="Palatino Linotype" w:cs="Calibri"/>
              <w:color w:val="000000"/>
              <w:sz w:val="24"/>
              <w:szCs w:val="24"/>
            </w:rPr>
          </w:pPr>
          <w:r w:rsidRPr="0048355C">
            <w:rPr>
              <w:rFonts w:ascii="Palatino Linotype" w:hAnsi="Palatino Linotype" w:cs="Calibri"/>
              <w:color w:val="000000"/>
              <w:sz w:val="24"/>
              <w:szCs w:val="24"/>
            </w:rPr>
            <w:lastRenderedPageBreak/>
            <w:t>[13]</w:t>
          </w:r>
          <w:r w:rsidRPr="0048355C">
            <w:rPr>
              <w:rFonts w:ascii="Palatino Linotype" w:hAnsi="Palatino Linotype" w:cs="Calibri"/>
              <w:color w:val="000000"/>
              <w:sz w:val="24"/>
              <w:szCs w:val="24"/>
            </w:rPr>
            <w:tab/>
            <w:t xml:space="preserve">Y. D. </w:t>
          </w:r>
          <w:proofErr w:type="spellStart"/>
          <w:r w:rsidRPr="0048355C">
            <w:rPr>
              <w:rFonts w:ascii="Palatino Linotype" w:hAnsi="Palatino Linotype" w:cs="Calibri"/>
              <w:color w:val="000000"/>
              <w:sz w:val="24"/>
              <w:szCs w:val="24"/>
            </w:rPr>
            <w:t>Hommy</w:t>
          </w:r>
          <w:proofErr w:type="spellEnd"/>
          <w:r w:rsidRPr="0048355C">
            <w:rPr>
              <w:rFonts w:ascii="Palatino Linotype" w:hAnsi="Palatino Linotype" w:cs="Calibri"/>
              <w:color w:val="000000"/>
              <w:sz w:val="24"/>
              <w:szCs w:val="24"/>
            </w:rPr>
            <w:t xml:space="preserve">, C. S. </w:t>
          </w:r>
          <w:proofErr w:type="spellStart"/>
          <w:r w:rsidRPr="0048355C">
            <w:rPr>
              <w:rFonts w:ascii="Palatino Linotype" w:hAnsi="Palatino Linotype" w:cs="Calibri"/>
              <w:color w:val="000000"/>
              <w:sz w:val="24"/>
              <w:szCs w:val="24"/>
            </w:rPr>
            <w:t>Ayal</w:t>
          </w:r>
          <w:proofErr w:type="spellEnd"/>
          <w:r w:rsidRPr="0048355C">
            <w:rPr>
              <w:rFonts w:ascii="Palatino Linotype" w:hAnsi="Palatino Linotype" w:cs="Calibri"/>
              <w:color w:val="000000"/>
              <w:sz w:val="24"/>
              <w:szCs w:val="24"/>
            </w:rPr>
            <w:t xml:space="preserve">, and D. A. </w:t>
          </w:r>
          <w:proofErr w:type="spellStart"/>
          <w:r w:rsidRPr="0048355C">
            <w:rPr>
              <w:rFonts w:ascii="Palatino Linotype" w:hAnsi="Palatino Linotype" w:cs="Calibri"/>
              <w:color w:val="000000"/>
              <w:sz w:val="24"/>
              <w:szCs w:val="24"/>
            </w:rPr>
            <w:t>Ngilawajan</w:t>
          </w:r>
          <w:proofErr w:type="spellEnd"/>
          <w:r w:rsidRPr="0048355C">
            <w:rPr>
              <w:rFonts w:ascii="Palatino Linotype" w:hAnsi="Palatino Linotype" w:cs="Calibri"/>
              <w:color w:val="000000"/>
              <w:sz w:val="24"/>
              <w:szCs w:val="24"/>
            </w:rPr>
            <w:t xml:space="preserve">, “PERBANDINGAN HASIL BELAJAR SISWA YANG DIAJARKAN DENGAN MODEL PEMBELAJARAN KOOPERATIF TIPE THINK PAIR SHARE (TPS) DAN MODEL PEMBELAJARAN KONVENSIONAL,” </w:t>
          </w:r>
          <w:r w:rsidRPr="0048355C">
            <w:rPr>
              <w:rFonts w:ascii="Palatino Linotype" w:hAnsi="Palatino Linotype" w:cs="Calibri"/>
              <w:i/>
              <w:iCs/>
              <w:color w:val="000000"/>
              <w:sz w:val="24"/>
              <w:szCs w:val="24"/>
            </w:rPr>
            <w:t>Sora Journal of Mathematics Education</w:t>
          </w:r>
          <w:r w:rsidRPr="0048355C">
            <w:rPr>
              <w:rFonts w:ascii="Palatino Linotype" w:hAnsi="Palatino Linotype" w:cs="Calibri"/>
              <w:color w:val="000000"/>
              <w:sz w:val="24"/>
              <w:szCs w:val="24"/>
            </w:rPr>
            <w:t xml:space="preserve">, vol. 2, no. 2, pp. 42–49, Oct.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10.30598/sora.2.2.42-49.</w:t>
          </w:r>
        </w:p>
        <w:p w14:paraId="6BAC4CC6" w14:textId="77777777" w:rsidR="0078405D" w:rsidRPr="0048355C" w:rsidRDefault="0078405D" w:rsidP="0048355C">
          <w:pPr>
            <w:pStyle w:val="ListParagraph"/>
            <w:numPr>
              <w:ilvl w:val="0"/>
              <w:numId w:val="1"/>
            </w:numPr>
            <w:autoSpaceDE w:val="0"/>
            <w:autoSpaceDN w:val="0"/>
            <w:ind w:left="284" w:hanging="491"/>
            <w:jc w:val="both"/>
            <w:divId w:val="520821642"/>
            <w:rPr>
              <w:rFonts w:ascii="Palatino Linotype" w:hAnsi="Palatino Linotype" w:cs="Calibri"/>
              <w:color w:val="000000"/>
              <w:sz w:val="24"/>
              <w:szCs w:val="24"/>
            </w:rPr>
          </w:pPr>
          <w:r w:rsidRPr="0048355C">
            <w:rPr>
              <w:rFonts w:ascii="Palatino Linotype" w:hAnsi="Palatino Linotype" w:cs="Calibri"/>
              <w:color w:val="000000"/>
              <w:sz w:val="24"/>
              <w:szCs w:val="24"/>
            </w:rPr>
            <w:t>[14]</w:t>
          </w:r>
          <w:r w:rsidRPr="0048355C">
            <w:rPr>
              <w:rFonts w:ascii="Palatino Linotype" w:hAnsi="Palatino Linotype" w:cs="Calibri"/>
              <w:color w:val="000000"/>
              <w:sz w:val="24"/>
              <w:szCs w:val="24"/>
            </w:rPr>
            <w:tab/>
            <w:t xml:space="preserve">C. </w:t>
          </w:r>
          <w:proofErr w:type="spellStart"/>
          <w:r w:rsidRPr="0048355C">
            <w:rPr>
              <w:rFonts w:ascii="Palatino Linotype" w:hAnsi="Palatino Linotype" w:cs="Calibri"/>
              <w:color w:val="000000"/>
              <w:sz w:val="24"/>
              <w:szCs w:val="24"/>
            </w:rPr>
            <w:t>Büscher</w:t>
          </w:r>
          <w:proofErr w:type="spellEnd"/>
          <w:r w:rsidRPr="0048355C">
            <w:rPr>
              <w:rFonts w:ascii="Palatino Linotype" w:hAnsi="Palatino Linotype" w:cs="Calibri"/>
              <w:color w:val="000000"/>
              <w:sz w:val="24"/>
              <w:szCs w:val="24"/>
            </w:rPr>
            <w:t xml:space="preserve">, “Students’ Development of Measures,” 2019, pp. 27–50.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10.1007/978-3-030-03472-6_2.</w:t>
          </w:r>
        </w:p>
        <w:p w14:paraId="4C0A40B7" w14:textId="77777777" w:rsidR="0078405D" w:rsidRPr="0048355C" w:rsidRDefault="0078405D" w:rsidP="0048355C">
          <w:pPr>
            <w:pStyle w:val="ListParagraph"/>
            <w:numPr>
              <w:ilvl w:val="0"/>
              <w:numId w:val="1"/>
            </w:numPr>
            <w:autoSpaceDE w:val="0"/>
            <w:autoSpaceDN w:val="0"/>
            <w:ind w:left="284" w:hanging="491"/>
            <w:jc w:val="both"/>
            <w:divId w:val="2143038250"/>
            <w:rPr>
              <w:rFonts w:ascii="Palatino Linotype" w:hAnsi="Palatino Linotype" w:cs="Calibri"/>
              <w:color w:val="000000"/>
              <w:sz w:val="24"/>
              <w:szCs w:val="24"/>
            </w:rPr>
          </w:pPr>
          <w:r w:rsidRPr="0048355C">
            <w:rPr>
              <w:rFonts w:ascii="Palatino Linotype" w:hAnsi="Palatino Linotype" w:cs="Calibri"/>
              <w:color w:val="000000"/>
              <w:sz w:val="24"/>
              <w:szCs w:val="24"/>
            </w:rPr>
            <w:t>[15]</w:t>
          </w:r>
          <w:r w:rsidRPr="0048355C">
            <w:rPr>
              <w:rFonts w:ascii="Palatino Linotype" w:hAnsi="Palatino Linotype" w:cs="Calibri"/>
              <w:color w:val="000000"/>
              <w:sz w:val="24"/>
              <w:szCs w:val="24"/>
            </w:rPr>
            <w:tab/>
            <w:t xml:space="preserve">T. L. </w:t>
          </w:r>
          <w:proofErr w:type="spellStart"/>
          <w:r w:rsidRPr="0048355C">
            <w:rPr>
              <w:rFonts w:ascii="Palatino Linotype" w:hAnsi="Palatino Linotype" w:cs="Calibri"/>
              <w:color w:val="000000"/>
              <w:sz w:val="24"/>
              <w:szCs w:val="24"/>
            </w:rPr>
            <w:t>Toh</w:t>
          </w:r>
          <w:proofErr w:type="spellEnd"/>
          <w:r w:rsidRPr="0048355C">
            <w:rPr>
              <w:rFonts w:ascii="Palatino Linotype" w:hAnsi="Palatino Linotype" w:cs="Calibri"/>
              <w:color w:val="000000"/>
              <w:sz w:val="24"/>
              <w:szCs w:val="24"/>
            </w:rPr>
            <w:t xml:space="preserve">, “School calculus curriculum and the Singapore mathematics curriculum framework,” </w:t>
          </w:r>
          <w:r w:rsidRPr="0048355C">
            <w:rPr>
              <w:rFonts w:ascii="Palatino Linotype" w:hAnsi="Palatino Linotype" w:cs="Calibri"/>
              <w:i/>
              <w:iCs/>
              <w:color w:val="000000"/>
              <w:sz w:val="24"/>
              <w:szCs w:val="24"/>
            </w:rPr>
            <w:t>ZDM – Mathematics Education</w:t>
          </w:r>
          <w:r w:rsidRPr="0048355C">
            <w:rPr>
              <w:rFonts w:ascii="Palatino Linotype" w:hAnsi="Palatino Linotype" w:cs="Calibri"/>
              <w:color w:val="000000"/>
              <w:sz w:val="24"/>
              <w:szCs w:val="24"/>
            </w:rPr>
            <w:t xml:space="preserve">, vol. 53, no. 3, pp. 535–547, Jun.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10.1007/s11858-021-01225-6.</w:t>
          </w:r>
        </w:p>
        <w:p w14:paraId="40617ED4" w14:textId="77777777" w:rsidR="0078405D" w:rsidRPr="0048355C" w:rsidRDefault="0078405D" w:rsidP="0048355C">
          <w:pPr>
            <w:pStyle w:val="ListParagraph"/>
            <w:numPr>
              <w:ilvl w:val="0"/>
              <w:numId w:val="1"/>
            </w:numPr>
            <w:autoSpaceDE w:val="0"/>
            <w:autoSpaceDN w:val="0"/>
            <w:ind w:left="284" w:hanging="491"/>
            <w:jc w:val="both"/>
            <w:divId w:val="1118527114"/>
            <w:rPr>
              <w:rFonts w:ascii="Palatino Linotype" w:hAnsi="Palatino Linotype" w:cs="Calibri"/>
              <w:color w:val="000000"/>
              <w:sz w:val="24"/>
              <w:szCs w:val="24"/>
            </w:rPr>
          </w:pPr>
          <w:r w:rsidRPr="0048355C">
            <w:rPr>
              <w:rFonts w:ascii="Palatino Linotype" w:hAnsi="Palatino Linotype" w:cs="Calibri"/>
              <w:color w:val="000000"/>
              <w:sz w:val="24"/>
              <w:szCs w:val="24"/>
            </w:rPr>
            <w:t>[16]</w:t>
          </w:r>
          <w:r w:rsidRPr="0048355C">
            <w:rPr>
              <w:rFonts w:ascii="Palatino Linotype" w:hAnsi="Palatino Linotype" w:cs="Calibri"/>
              <w:color w:val="000000"/>
              <w:sz w:val="24"/>
              <w:szCs w:val="24"/>
            </w:rPr>
            <w:tab/>
          </w:r>
          <w:proofErr w:type="spellStart"/>
          <w:r w:rsidRPr="0048355C">
            <w:rPr>
              <w:rFonts w:ascii="Palatino Linotype" w:hAnsi="Palatino Linotype" w:cs="Calibri"/>
              <w:color w:val="000000"/>
              <w:sz w:val="24"/>
              <w:szCs w:val="24"/>
            </w:rPr>
            <w:t>Sugiyono</w:t>
          </w:r>
          <w:proofErr w:type="spellEnd"/>
          <w:r w:rsidRPr="0048355C">
            <w:rPr>
              <w:rFonts w:ascii="Palatino Linotype" w:hAnsi="Palatino Linotype" w:cs="Calibri"/>
              <w:color w:val="000000"/>
              <w:sz w:val="24"/>
              <w:szCs w:val="24"/>
            </w:rPr>
            <w:t>, “METODE PENELITIAN KKUANTITATIF KUALITATIF DAN R&amp;D,” 2013.</w:t>
          </w:r>
        </w:p>
        <w:p w14:paraId="774B5664" w14:textId="77777777" w:rsidR="0078405D" w:rsidRPr="0048355C" w:rsidRDefault="0078405D" w:rsidP="0048355C">
          <w:pPr>
            <w:pStyle w:val="ListParagraph"/>
            <w:numPr>
              <w:ilvl w:val="0"/>
              <w:numId w:val="1"/>
            </w:numPr>
            <w:autoSpaceDE w:val="0"/>
            <w:autoSpaceDN w:val="0"/>
            <w:ind w:left="284" w:hanging="491"/>
            <w:jc w:val="both"/>
            <w:divId w:val="471943173"/>
            <w:rPr>
              <w:rFonts w:ascii="Palatino Linotype" w:hAnsi="Palatino Linotype" w:cs="Calibri"/>
              <w:color w:val="000000"/>
              <w:sz w:val="24"/>
              <w:szCs w:val="24"/>
            </w:rPr>
          </w:pPr>
          <w:r w:rsidRPr="0048355C">
            <w:rPr>
              <w:rFonts w:ascii="Palatino Linotype" w:hAnsi="Palatino Linotype" w:cs="Calibri"/>
              <w:color w:val="000000"/>
              <w:sz w:val="24"/>
              <w:szCs w:val="24"/>
            </w:rPr>
            <w:t>[17]</w:t>
          </w:r>
          <w:r w:rsidRPr="0048355C">
            <w:rPr>
              <w:rFonts w:ascii="Palatino Linotype" w:hAnsi="Palatino Linotype" w:cs="Calibri"/>
              <w:color w:val="000000"/>
              <w:sz w:val="24"/>
              <w:szCs w:val="24"/>
            </w:rPr>
            <w:tab/>
            <w:t xml:space="preserve">J. W. . Creswell, </w:t>
          </w:r>
          <w:r w:rsidRPr="0048355C">
            <w:rPr>
              <w:rFonts w:ascii="Palatino Linotype" w:hAnsi="Palatino Linotype" w:cs="Calibri"/>
              <w:i/>
              <w:iCs/>
              <w:color w:val="000000"/>
              <w:sz w:val="24"/>
              <w:szCs w:val="24"/>
            </w:rPr>
            <w:t>Educational research</w:t>
          </w:r>
          <w:r w:rsidRPr="0048355C">
            <w:rPr>
              <w:i/>
              <w:iCs/>
              <w:color w:val="000000"/>
              <w:sz w:val="24"/>
              <w:szCs w:val="24"/>
            </w:rPr>
            <w:t> </w:t>
          </w:r>
          <w:r w:rsidRPr="0048355C">
            <w:rPr>
              <w:rFonts w:ascii="Palatino Linotype" w:hAnsi="Palatino Linotype" w:cs="Calibri"/>
              <w:i/>
              <w:iCs/>
              <w:color w:val="000000"/>
              <w:sz w:val="24"/>
              <w:szCs w:val="24"/>
            </w:rPr>
            <w:t>: planning, conducting, and evaluating quantitative and qualitative research</w:t>
          </w:r>
          <w:r w:rsidRPr="0048355C">
            <w:rPr>
              <w:rFonts w:ascii="Palatino Linotype" w:hAnsi="Palatino Linotype" w:cs="Calibri"/>
              <w:color w:val="000000"/>
              <w:sz w:val="24"/>
              <w:szCs w:val="24"/>
            </w:rPr>
            <w:t>. PHI Learning Private Limited, 2013.</w:t>
          </w:r>
        </w:p>
        <w:p w14:paraId="203E3031" w14:textId="77777777" w:rsidR="0078405D" w:rsidRPr="0048355C" w:rsidRDefault="0078405D" w:rsidP="0048355C">
          <w:pPr>
            <w:pStyle w:val="ListParagraph"/>
            <w:numPr>
              <w:ilvl w:val="0"/>
              <w:numId w:val="1"/>
            </w:numPr>
            <w:autoSpaceDE w:val="0"/>
            <w:autoSpaceDN w:val="0"/>
            <w:ind w:left="284" w:hanging="491"/>
            <w:jc w:val="both"/>
            <w:divId w:val="577439848"/>
            <w:rPr>
              <w:rFonts w:ascii="Palatino Linotype" w:hAnsi="Palatino Linotype" w:cs="Calibri"/>
              <w:color w:val="000000"/>
              <w:sz w:val="24"/>
              <w:szCs w:val="24"/>
            </w:rPr>
          </w:pPr>
          <w:r w:rsidRPr="0048355C">
            <w:rPr>
              <w:rFonts w:ascii="Palatino Linotype" w:hAnsi="Palatino Linotype" w:cs="Calibri"/>
              <w:color w:val="000000"/>
              <w:sz w:val="24"/>
              <w:szCs w:val="24"/>
            </w:rPr>
            <w:t>[18]</w:t>
          </w:r>
          <w:r w:rsidRPr="0048355C">
            <w:rPr>
              <w:rFonts w:ascii="Palatino Linotype" w:hAnsi="Palatino Linotype" w:cs="Calibri"/>
              <w:color w:val="000000"/>
              <w:sz w:val="24"/>
              <w:szCs w:val="24"/>
            </w:rPr>
            <w:tab/>
            <w:t xml:space="preserve">E. </w:t>
          </w:r>
          <w:proofErr w:type="spellStart"/>
          <w:r w:rsidRPr="0048355C">
            <w:rPr>
              <w:rFonts w:ascii="Palatino Linotype" w:hAnsi="Palatino Linotype" w:cs="Calibri"/>
              <w:color w:val="000000"/>
              <w:sz w:val="24"/>
              <w:szCs w:val="24"/>
            </w:rPr>
            <w:t>Firmansyah</w:t>
          </w:r>
          <w:proofErr w:type="spellEnd"/>
          <w:r w:rsidRPr="0048355C">
            <w:rPr>
              <w:rFonts w:ascii="Palatino Linotype" w:hAnsi="Palatino Linotype" w:cs="Calibri"/>
              <w:color w:val="000000"/>
              <w:sz w:val="24"/>
              <w:szCs w:val="24"/>
            </w:rPr>
            <w:t xml:space="preserve"> and A. Ikhwan, “Inclusive Education as a Catalyst for Social Transformation: A Systematic Literature Review.”</w:t>
          </w:r>
        </w:p>
        <w:p w14:paraId="0CCB9701" w14:textId="77777777" w:rsidR="0078405D" w:rsidRPr="0048355C" w:rsidRDefault="0078405D" w:rsidP="0048355C">
          <w:pPr>
            <w:pStyle w:val="ListParagraph"/>
            <w:numPr>
              <w:ilvl w:val="0"/>
              <w:numId w:val="1"/>
            </w:numPr>
            <w:autoSpaceDE w:val="0"/>
            <w:autoSpaceDN w:val="0"/>
            <w:ind w:left="284" w:hanging="491"/>
            <w:jc w:val="both"/>
            <w:divId w:val="1102797049"/>
            <w:rPr>
              <w:rFonts w:ascii="Palatino Linotype" w:hAnsi="Palatino Linotype" w:cs="Calibri"/>
              <w:color w:val="000000"/>
              <w:sz w:val="24"/>
              <w:szCs w:val="24"/>
            </w:rPr>
          </w:pPr>
          <w:r w:rsidRPr="0048355C">
            <w:rPr>
              <w:rFonts w:ascii="Palatino Linotype" w:hAnsi="Palatino Linotype" w:cs="Calibri"/>
              <w:color w:val="000000"/>
              <w:sz w:val="24"/>
              <w:szCs w:val="24"/>
            </w:rPr>
            <w:t>[19]</w:t>
          </w:r>
          <w:r w:rsidRPr="0048355C">
            <w:rPr>
              <w:rFonts w:ascii="Palatino Linotype" w:hAnsi="Palatino Linotype" w:cs="Calibri"/>
              <w:color w:val="000000"/>
              <w:sz w:val="24"/>
              <w:szCs w:val="24"/>
            </w:rPr>
            <w:tab/>
            <w:t xml:space="preserve">K. M. Cooper, J. N. </w:t>
          </w:r>
          <w:proofErr w:type="spellStart"/>
          <w:r w:rsidRPr="0048355C">
            <w:rPr>
              <w:rFonts w:ascii="Palatino Linotype" w:hAnsi="Palatino Linotype" w:cs="Calibri"/>
              <w:color w:val="000000"/>
              <w:sz w:val="24"/>
              <w:szCs w:val="24"/>
            </w:rPr>
            <w:t>Schinske</w:t>
          </w:r>
          <w:proofErr w:type="spellEnd"/>
          <w:r w:rsidRPr="0048355C">
            <w:rPr>
              <w:rFonts w:ascii="Palatino Linotype" w:hAnsi="Palatino Linotype" w:cs="Calibri"/>
              <w:color w:val="000000"/>
              <w:sz w:val="24"/>
              <w:szCs w:val="24"/>
            </w:rPr>
            <w:t xml:space="preserve">, and K. D. Tanner, “Reconsidering the Share of a Think–Pair–Share: Emerging Limitations, Alternatives, and Opportunities for Research,” </w:t>
          </w:r>
          <w:r w:rsidRPr="0048355C">
            <w:rPr>
              <w:rFonts w:ascii="Palatino Linotype" w:hAnsi="Palatino Linotype" w:cs="Calibri"/>
              <w:i/>
              <w:iCs/>
              <w:color w:val="000000"/>
              <w:sz w:val="24"/>
              <w:szCs w:val="24"/>
            </w:rPr>
            <w:t>CBE—Life Sciences Education</w:t>
          </w:r>
          <w:r w:rsidRPr="0048355C">
            <w:rPr>
              <w:rFonts w:ascii="Palatino Linotype" w:hAnsi="Palatino Linotype" w:cs="Calibri"/>
              <w:color w:val="000000"/>
              <w:sz w:val="24"/>
              <w:szCs w:val="24"/>
            </w:rPr>
            <w:t xml:space="preserve">, vol. 20, no. 1, p. fe1, Mar. 2021,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10.1187/cbe.20-08-0200.</w:t>
          </w:r>
        </w:p>
        <w:p w14:paraId="796CB49C" w14:textId="77777777" w:rsidR="0078405D" w:rsidRPr="0048355C" w:rsidRDefault="0078405D" w:rsidP="0048355C">
          <w:pPr>
            <w:pStyle w:val="ListParagraph"/>
            <w:numPr>
              <w:ilvl w:val="0"/>
              <w:numId w:val="1"/>
            </w:numPr>
            <w:autoSpaceDE w:val="0"/>
            <w:autoSpaceDN w:val="0"/>
            <w:ind w:left="284" w:hanging="491"/>
            <w:jc w:val="both"/>
            <w:divId w:val="2066876767"/>
            <w:rPr>
              <w:rFonts w:ascii="Palatino Linotype" w:hAnsi="Palatino Linotype" w:cs="Calibri"/>
              <w:color w:val="000000"/>
              <w:sz w:val="24"/>
              <w:szCs w:val="24"/>
            </w:rPr>
          </w:pPr>
          <w:r w:rsidRPr="0048355C">
            <w:rPr>
              <w:rFonts w:ascii="Palatino Linotype" w:hAnsi="Palatino Linotype" w:cs="Calibri"/>
              <w:color w:val="000000"/>
              <w:sz w:val="24"/>
              <w:szCs w:val="24"/>
            </w:rPr>
            <w:t>[20]</w:t>
          </w:r>
          <w:r w:rsidRPr="0048355C">
            <w:rPr>
              <w:rFonts w:ascii="Palatino Linotype" w:hAnsi="Palatino Linotype" w:cs="Calibri"/>
              <w:color w:val="000000"/>
              <w:sz w:val="24"/>
              <w:szCs w:val="24"/>
            </w:rPr>
            <w:tab/>
          </w:r>
          <w:proofErr w:type="spellStart"/>
          <w:r w:rsidRPr="0048355C">
            <w:rPr>
              <w:rFonts w:ascii="Palatino Linotype" w:hAnsi="Palatino Linotype" w:cs="Calibri"/>
              <w:color w:val="000000"/>
              <w:sz w:val="24"/>
              <w:szCs w:val="24"/>
            </w:rPr>
            <w:t>Tarisa</w:t>
          </w:r>
          <w:proofErr w:type="spellEnd"/>
          <w:r w:rsidRPr="0048355C">
            <w:rPr>
              <w:rFonts w:ascii="Palatino Linotype" w:hAnsi="Palatino Linotype" w:cs="Calibri"/>
              <w:color w:val="000000"/>
              <w:sz w:val="24"/>
              <w:szCs w:val="24"/>
            </w:rPr>
            <w:t xml:space="preserve"> Putri, Joni </w:t>
          </w:r>
          <w:proofErr w:type="spellStart"/>
          <w:r w:rsidRPr="0048355C">
            <w:rPr>
              <w:rFonts w:ascii="Palatino Linotype" w:hAnsi="Palatino Linotype" w:cs="Calibri"/>
              <w:color w:val="000000"/>
              <w:sz w:val="24"/>
              <w:szCs w:val="24"/>
            </w:rPr>
            <w:t>Albar</w:t>
          </w:r>
          <w:proofErr w:type="spellEnd"/>
          <w:r w:rsidRPr="0048355C">
            <w:rPr>
              <w:rFonts w:ascii="Palatino Linotype" w:hAnsi="Palatino Linotype" w:cs="Calibri"/>
              <w:color w:val="000000"/>
              <w:sz w:val="24"/>
              <w:szCs w:val="24"/>
            </w:rPr>
            <w:t xml:space="preserve">, and </w:t>
          </w:r>
          <w:proofErr w:type="spellStart"/>
          <w:r w:rsidRPr="0048355C">
            <w:rPr>
              <w:rFonts w:ascii="Palatino Linotype" w:hAnsi="Palatino Linotype" w:cs="Calibri"/>
              <w:color w:val="000000"/>
              <w:sz w:val="24"/>
              <w:szCs w:val="24"/>
            </w:rPr>
            <w:t>Kasihani</w:t>
          </w:r>
          <w:proofErr w:type="spellEnd"/>
          <w:r w:rsidRPr="0048355C">
            <w:rPr>
              <w:rFonts w:ascii="Palatino Linotype" w:hAnsi="Palatino Linotype" w:cs="Calibri"/>
              <w:color w:val="000000"/>
              <w:sz w:val="24"/>
              <w:szCs w:val="24"/>
            </w:rPr>
            <w:t xml:space="preserve"> Lestari, “The Effect of Think Pair Share (TPS) Cooperative Learning on Students’ Conceptual Understanding in IPAS Learning at SDN 28,” </w:t>
          </w:r>
          <w:r w:rsidRPr="0048355C">
            <w:rPr>
              <w:rFonts w:ascii="Palatino Linotype" w:hAnsi="Palatino Linotype" w:cs="Calibri"/>
              <w:i/>
              <w:iCs/>
              <w:color w:val="000000"/>
              <w:sz w:val="24"/>
              <w:szCs w:val="24"/>
            </w:rPr>
            <w:t>Journal Innovative Practices in Education (JIPE)</w:t>
          </w:r>
          <w:r w:rsidRPr="0048355C">
            <w:rPr>
              <w:rFonts w:ascii="Palatino Linotype" w:hAnsi="Palatino Linotype" w:cs="Calibri"/>
              <w:color w:val="000000"/>
              <w:sz w:val="24"/>
              <w:szCs w:val="24"/>
            </w:rPr>
            <w:t xml:space="preserve">, vol. 1, no. 3, pp. 179–183, May 2026,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10.58540/jipe.v1i3.1612.</w:t>
          </w:r>
        </w:p>
        <w:p w14:paraId="5A59CE2A" w14:textId="77777777" w:rsidR="0078405D" w:rsidRPr="0048355C" w:rsidRDefault="0078405D" w:rsidP="0048355C">
          <w:pPr>
            <w:pStyle w:val="ListParagraph"/>
            <w:numPr>
              <w:ilvl w:val="0"/>
              <w:numId w:val="1"/>
            </w:numPr>
            <w:autoSpaceDE w:val="0"/>
            <w:autoSpaceDN w:val="0"/>
            <w:ind w:left="284" w:hanging="491"/>
            <w:jc w:val="both"/>
            <w:divId w:val="1737892380"/>
            <w:rPr>
              <w:rFonts w:ascii="Palatino Linotype" w:hAnsi="Palatino Linotype" w:cs="Calibri"/>
              <w:color w:val="000000"/>
              <w:sz w:val="24"/>
              <w:szCs w:val="24"/>
            </w:rPr>
          </w:pPr>
          <w:r w:rsidRPr="0048355C">
            <w:rPr>
              <w:rFonts w:ascii="Palatino Linotype" w:hAnsi="Palatino Linotype" w:cs="Calibri"/>
              <w:color w:val="000000"/>
              <w:sz w:val="24"/>
              <w:szCs w:val="24"/>
            </w:rPr>
            <w:t>[21]</w:t>
          </w:r>
          <w:r w:rsidRPr="0048355C">
            <w:rPr>
              <w:rFonts w:ascii="Palatino Linotype" w:hAnsi="Palatino Linotype" w:cs="Calibri"/>
              <w:color w:val="000000"/>
              <w:sz w:val="24"/>
              <w:szCs w:val="24"/>
            </w:rPr>
            <w:tab/>
            <w:t xml:space="preserve">N. M. Webb </w:t>
          </w:r>
          <w:r w:rsidRPr="0048355C">
            <w:rPr>
              <w:rFonts w:ascii="Palatino Linotype" w:hAnsi="Palatino Linotype" w:cs="Calibri"/>
              <w:i/>
              <w:iCs/>
              <w:color w:val="000000"/>
              <w:sz w:val="24"/>
              <w:szCs w:val="24"/>
            </w:rPr>
            <w:t>et al.</w:t>
          </w:r>
          <w:r w:rsidRPr="0048355C">
            <w:rPr>
              <w:rFonts w:ascii="Palatino Linotype" w:hAnsi="Palatino Linotype" w:cs="Calibri"/>
              <w:color w:val="000000"/>
              <w:sz w:val="24"/>
              <w:szCs w:val="24"/>
            </w:rPr>
            <w:t xml:space="preserve">, “Engaging with others’ mathematical ideas: Interrelationships among student participation, teachers’ instructional practices, and learning,” </w:t>
          </w:r>
          <w:r w:rsidRPr="0048355C">
            <w:rPr>
              <w:rFonts w:ascii="Palatino Linotype" w:hAnsi="Palatino Linotype" w:cs="Calibri"/>
              <w:i/>
              <w:iCs/>
              <w:color w:val="000000"/>
              <w:sz w:val="24"/>
              <w:szCs w:val="24"/>
            </w:rPr>
            <w:t>Int. J. Educ. Res.</w:t>
          </w:r>
          <w:r w:rsidRPr="0048355C">
            <w:rPr>
              <w:rFonts w:ascii="Palatino Linotype" w:hAnsi="Palatino Linotype" w:cs="Calibri"/>
              <w:color w:val="000000"/>
              <w:sz w:val="24"/>
              <w:szCs w:val="24"/>
            </w:rPr>
            <w:t xml:space="preserve">, vol. 63, pp. 79–93, 2014,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10.1016/j.ijer.2013.02.001.</w:t>
          </w:r>
        </w:p>
        <w:p w14:paraId="42470716" w14:textId="77777777" w:rsidR="0078405D" w:rsidRPr="0048355C" w:rsidRDefault="0078405D" w:rsidP="0048355C">
          <w:pPr>
            <w:pStyle w:val="ListParagraph"/>
            <w:numPr>
              <w:ilvl w:val="0"/>
              <w:numId w:val="1"/>
            </w:numPr>
            <w:autoSpaceDE w:val="0"/>
            <w:autoSpaceDN w:val="0"/>
            <w:ind w:left="284" w:hanging="491"/>
            <w:jc w:val="both"/>
            <w:divId w:val="558630604"/>
            <w:rPr>
              <w:rFonts w:ascii="Palatino Linotype" w:hAnsi="Palatino Linotype" w:cs="Calibri"/>
              <w:color w:val="000000"/>
              <w:sz w:val="24"/>
              <w:szCs w:val="24"/>
            </w:rPr>
          </w:pPr>
          <w:r w:rsidRPr="0048355C">
            <w:rPr>
              <w:rFonts w:ascii="Palatino Linotype" w:hAnsi="Palatino Linotype" w:cs="Calibri"/>
              <w:color w:val="000000"/>
              <w:sz w:val="24"/>
              <w:szCs w:val="24"/>
            </w:rPr>
            <w:t>[22]</w:t>
          </w:r>
          <w:r w:rsidRPr="0048355C">
            <w:rPr>
              <w:rFonts w:ascii="Palatino Linotype" w:hAnsi="Palatino Linotype" w:cs="Calibri"/>
              <w:color w:val="000000"/>
              <w:sz w:val="24"/>
              <w:szCs w:val="24"/>
            </w:rPr>
            <w:tab/>
            <w:t xml:space="preserve">V. </w:t>
          </w:r>
          <w:proofErr w:type="spellStart"/>
          <w:r w:rsidRPr="0048355C">
            <w:rPr>
              <w:rFonts w:ascii="Palatino Linotype" w:hAnsi="Palatino Linotype" w:cs="Calibri"/>
              <w:color w:val="000000"/>
              <w:sz w:val="24"/>
              <w:szCs w:val="24"/>
            </w:rPr>
            <w:t>Hoogerheide</w:t>
          </w:r>
          <w:proofErr w:type="spellEnd"/>
          <w:r w:rsidRPr="0048355C">
            <w:rPr>
              <w:rFonts w:ascii="Palatino Linotype" w:hAnsi="Palatino Linotype" w:cs="Calibri"/>
              <w:color w:val="000000"/>
              <w:sz w:val="24"/>
              <w:szCs w:val="24"/>
            </w:rPr>
            <w:t xml:space="preserve">, L. </w:t>
          </w:r>
          <w:proofErr w:type="spellStart"/>
          <w:r w:rsidRPr="0048355C">
            <w:rPr>
              <w:rFonts w:ascii="Palatino Linotype" w:hAnsi="Palatino Linotype" w:cs="Calibri"/>
              <w:color w:val="000000"/>
              <w:sz w:val="24"/>
              <w:szCs w:val="24"/>
            </w:rPr>
            <w:t>Deijkers</w:t>
          </w:r>
          <w:proofErr w:type="spellEnd"/>
          <w:r w:rsidRPr="0048355C">
            <w:rPr>
              <w:rFonts w:ascii="Palatino Linotype" w:hAnsi="Palatino Linotype" w:cs="Calibri"/>
              <w:color w:val="000000"/>
              <w:sz w:val="24"/>
              <w:szCs w:val="24"/>
            </w:rPr>
            <w:t xml:space="preserve">, S. M. M. </w:t>
          </w:r>
          <w:proofErr w:type="spellStart"/>
          <w:r w:rsidRPr="0048355C">
            <w:rPr>
              <w:rFonts w:ascii="Palatino Linotype" w:hAnsi="Palatino Linotype" w:cs="Calibri"/>
              <w:color w:val="000000"/>
              <w:sz w:val="24"/>
              <w:szCs w:val="24"/>
            </w:rPr>
            <w:t>Loyens</w:t>
          </w:r>
          <w:proofErr w:type="spellEnd"/>
          <w:r w:rsidRPr="0048355C">
            <w:rPr>
              <w:rFonts w:ascii="Palatino Linotype" w:hAnsi="Palatino Linotype" w:cs="Calibri"/>
              <w:color w:val="000000"/>
              <w:sz w:val="24"/>
              <w:szCs w:val="24"/>
            </w:rPr>
            <w:t xml:space="preserve">, A. </w:t>
          </w:r>
          <w:proofErr w:type="spellStart"/>
          <w:r w:rsidRPr="0048355C">
            <w:rPr>
              <w:rFonts w:ascii="Palatino Linotype" w:hAnsi="Palatino Linotype" w:cs="Calibri"/>
              <w:color w:val="000000"/>
              <w:sz w:val="24"/>
              <w:szCs w:val="24"/>
            </w:rPr>
            <w:t>Heijltjes</w:t>
          </w:r>
          <w:proofErr w:type="spellEnd"/>
          <w:r w:rsidRPr="0048355C">
            <w:rPr>
              <w:rFonts w:ascii="Palatino Linotype" w:hAnsi="Palatino Linotype" w:cs="Calibri"/>
              <w:color w:val="000000"/>
              <w:sz w:val="24"/>
              <w:szCs w:val="24"/>
            </w:rPr>
            <w:t xml:space="preserve">, and T. van Gog, “Gaining from explaining: Learning improves from explaining to fictitious others on video, not from writing to them,” </w:t>
          </w:r>
          <w:r w:rsidRPr="0048355C">
            <w:rPr>
              <w:rFonts w:ascii="Palatino Linotype" w:hAnsi="Palatino Linotype" w:cs="Calibri"/>
              <w:i/>
              <w:iCs/>
              <w:color w:val="000000"/>
              <w:sz w:val="24"/>
              <w:szCs w:val="24"/>
            </w:rPr>
            <w:t>Contemp. Educ. Psychol.</w:t>
          </w:r>
          <w:r w:rsidRPr="0048355C">
            <w:rPr>
              <w:rFonts w:ascii="Palatino Linotype" w:hAnsi="Palatino Linotype" w:cs="Calibri"/>
              <w:color w:val="000000"/>
              <w:sz w:val="24"/>
              <w:szCs w:val="24"/>
            </w:rPr>
            <w:t xml:space="preserve">, vol. 44–45, pp. 95–106, Jan. 2016,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10.1016/j.cedpsych.2016.02.005.</w:t>
          </w:r>
        </w:p>
        <w:p w14:paraId="39E7AB10" w14:textId="77777777" w:rsidR="0078405D" w:rsidRPr="0048355C" w:rsidRDefault="0078405D" w:rsidP="0048355C">
          <w:pPr>
            <w:pStyle w:val="ListParagraph"/>
            <w:numPr>
              <w:ilvl w:val="0"/>
              <w:numId w:val="1"/>
            </w:numPr>
            <w:autoSpaceDE w:val="0"/>
            <w:autoSpaceDN w:val="0"/>
            <w:ind w:left="284" w:hanging="491"/>
            <w:jc w:val="both"/>
            <w:divId w:val="883058966"/>
            <w:rPr>
              <w:rFonts w:ascii="Palatino Linotype" w:hAnsi="Palatino Linotype" w:cs="Calibri"/>
              <w:color w:val="000000"/>
              <w:sz w:val="24"/>
              <w:szCs w:val="24"/>
            </w:rPr>
          </w:pPr>
          <w:r w:rsidRPr="0048355C">
            <w:rPr>
              <w:rFonts w:ascii="Palatino Linotype" w:hAnsi="Palatino Linotype" w:cs="Calibri"/>
              <w:color w:val="000000"/>
              <w:sz w:val="24"/>
              <w:szCs w:val="24"/>
            </w:rPr>
            <w:t>[23]</w:t>
          </w:r>
          <w:r w:rsidRPr="0048355C">
            <w:rPr>
              <w:rFonts w:ascii="Palatino Linotype" w:hAnsi="Palatino Linotype" w:cs="Calibri"/>
              <w:color w:val="000000"/>
              <w:sz w:val="24"/>
              <w:szCs w:val="24"/>
            </w:rPr>
            <w:tab/>
            <w:t xml:space="preserve">J. </w:t>
          </w:r>
          <w:proofErr w:type="spellStart"/>
          <w:r w:rsidRPr="0048355C">
            <w:rPr>
              <w:rFonts w:ascii="Palatino Linotype" w:hAnsi="Palatino Linotype" w:cs="Calibri"/>
              <w:color w:val="000000"/>
              <w:sz w:val="24"/>
              <w:szCs w:val="24"/>
            </w:rPr>
            <w:t>Dunlosky</w:t>
          </w:r>
          <w:proofErr w:type="spellEnd"/>
          <w:r w:rsidRPr="0048355C">
            <w:rPr>
              <w:rFonts w:ascii="Palatino Linotype" w:hAnsi="Palatino Linotype" w:cs="Calibri"/>
              <w:color w:val="000000"/>
              <w:sz w:val="24"/>
              <w:szCs w:val="24"/>
            </w:rPr>
            <w:t xml:space="preserve">, K. A. Rawson, E. J. Marsh, M. J. Nathan, and D. T. Willingham, “Improving Students’ Learning With Effective Learning Techniques,” </w:t>
          </w:r>
          <w:r w:rsidRPr="0048355C">
            <w:rPr>
              <w:rFonts w:ascii="Palatino Linotype" w:hAnsi="Palatino Linotype" w:cs="Calibri"/>
              <w:i/>
              <w:iCs/>
              <w:color w:val="000000"/>
              <w:sz w:val="24"/>
              <w:szCs w:val="24"/>
            </w:rPr>
            <w:t>Psychological Science in the Public Interest</w:t>
          </w:r>
          <w:r w:rsidRPr="0048355C">
            <w:rPr>
              <w:rFonts w:ascii="Palatino Linotype" w:hAnsi="Palatino Linotype" w:cs="Calibri"/>
              <w:color w:val="000000"/>
              <w:sz w:val="24"/>
              <w:szCs w:val="24"/>
            </w:rPr>
            <w:t xml:space="preserve">, vol. 14, no. 1, pp. 4–58, Jan. 2013,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10.1177/1529100612453266.</w:t>
          </w:r>
        </w:p>
        <w:p w14:paraId="079A5703" w14:textId="77777777" w:rsidR="0078405D" w:rsidRPr="0048355C" w:rsidRDefault="0078405D" w:rsidP="0048355C">
          <w:pPr>
            <w:pStyle w:val="ListParagraph"/>
            <w:numPr>
              <w:ilvl w:val="0"/>
              <w:numId w:val="1"/>
            </w:numPr>
            <w:autoSpaceDE w:val="0"/>
            <w:autoSpaceDN w:val="0"/>
            <w:ind w:left="284" w:hanging="491"/>
            <w:jc w:val="both"/>
            <w:divId w:val="1787655552"/>
            <w:rPr>
              <w:rFonts w:ascii="Palatino Linotype" w:hAnsi="Palatino Linotype" w:cs="Calibri"/>
              <w:color w:val="000000"/>
              <w:sz w:val="24"/>
              <w:szCs w:val="24"/>
            </w:rPr>
          </w:pPr>
          <w:r w:rsidRPr="0048355C">
            <w:rPr>
              <w:rFonts w:ascii="Palatino Linotype" w:hAnsi="Palatino Linotype" w:cs="Calibri"/>
              <w:color w:val="000000"/>
              <w:sz w:val="24"/>
              <w:szCs w:val="24"/>
            </w:rPr>
            <w:t>[24]</w:t>
          </w:r>
          <w:r w:rsidRPr="0048355C">
            <w:rPr>
              <w:rFonts w:ascii="Palatino Linotype" w:hAnsi="Palatino Linotype" w:cs="Calibri"/>
              <w:color w:val="000000"/>
              <w:sz w:val="24"/>
              <w:szCs w:val="24"/>
            </w:rPr>
            <w:tab/>
            <w:t xml:space="preserve">A. </w:t>
          </w:r>
          <w:proofErr w:type="spellStart"/>
          <w:r w:rsidRPr="0048355C">
            <w:rPr>
              <w:rFonts w:ascii="Palatino Linotype" w:hAnsi="Palatino Linotype" w:cs="Calibri"/>
              <w:color w:val="000000"/>
              <w:sz w:val="24"/>
              <w:szCs w:val="24"/>
            </w:rPr>
            <w:t>Triyono</w:t>
          </w:r>
          <w:proofErr w:type="spellEnd"/>
          <w:r w:rsidRPr="0048355C">
            <w:rPr>
              <w:rFonts w:ascii="Palatino Linotype" w:hAnsi="Palatino Linotype" w:cs="Calibri"/>
              <w:color w:val="000000"/>
              <w:sz w:val="24"/>
              <w:szCs w:val="24"/>
            </w:rPr>
            <w:t xml:space="preserve">, R. H. </w:t>
          </w:r>
          <w:proofErr w:type="spellStart"/>
          <w:r w:rsidRPr="0048355C">
            <w:rPr>
              <w:rFonts w:ascii="Palatino Linotype" w:hAnsi="Palatino Linotype" w:cs="Calibri"/>
              <w:color w:val="000000"/>
              <w:sz w:val="24"/>
              <w:szCs w:val="24"/>
            </w:rPr>
            <w:t>Nuary</w:t>
          </w:r>
          <w:proofErr w:type="spellEnd"/>
          <w:r w:rsidRPr="0048355C">
            <w:rPr>
              <w:rFonts w:ascii="Palatino Linotype" w:hAnsi="Palatino Linotype" w:cs="Calibri"/>
              <w:color w:val="000000"/>
              <w:sz w:val="24"/>
              <w:szCs w:val="24"/>
            </w:rPr>
            <w:t xml:space="preserve">, N. </w:t>
          </w:r>
          <w:proofErr w:type="spellStart"/>
          <w:r w:rsidRPr="0048355C">
            <w:rPr>
              <w:rFonts w:ascii="Palatino Linotype" w:hAnsi="Palatino Linotype" w:cs="Calibri"/>
              <w:color w:val="000000"/>
              <w:sz w:val="24"/>
              <w:szCs w:val="24"/>
            </w:rPr>
            <w:t>Permatasari</w:t>
          </w:r>
          <w:proofErr w:type="spellEnd"/>
          <w:r w:rsidRPr="0048355C">
            <w:rPr>
              <w:rFonts w:ascii="Palatino Linotype" w:hAnsi="Palatino Linotype" w:cs="Calibri"/>
              <w:color w:val="000000"/>
              <w:sz w:val="24"/>
              <w:szCs w:val="24"/>
            </w:rPr>
            <w:t xml:space="preserve">, Y. Yuni, and T. Wibowo, “The Level of Effectiveness of TPS and Conventional Methods Judging from </w:t>
          </w:r>
          <w:r w:rsidRPr="0048355C">
            <w:rPr>
              <w:rFonts w:ascii="Palatino Linotype" w:hAnsi="Palatino Linotype" w:cs="Calibri"/>
              <w:color w:val="000000"/>
              <w:sz w:val="24"/>
              <w:szCs w:val="24"/>
            </w:rPr>
            <w:lastRenderedPageBreak/>
            <w:t xml:space="preserve">Students’ Geometry Learning Results Using the N-Gain Test,” </w:t>
          </w:r>
          <w:proofErr w:type="spellStart"/>
          <w:r w:rsidRPr="0048355C">
            <w:rPr>
              <w:rFonts w:ascii="Palatino Linotype" w:hAnsi="Palatino Linotype" w:cs="Calibri"/>
              <w:i/>
              <w:iCs/>
              <w:color w:val="000000"/>
              <w:sz w:val="24"/>
              <w:szCs w:val="24"/>
            </w:rPr>
            <w:t>AlphaMath</w:t>
          </w:r>
          <w:proofErr w:type="spellEnd"/>
          <w:r w:rsidRPr="0048355C">
            <w:rPr>
              <w:i/>
              <w:iCs/>
              <w:color w:val="000000"/>
              <w:sz w:val="24"/>
              <w:szCs w:val="24"/>
            </w:rPr>
            <w:t> </w:t>
          </w:r>
          <w:r w:rsidRPr="0048355C">
            <w:rPr>
              <w:rFonts w:ascii="Palatino Linotype" w:hAnsi="Palatino Linotype" w:cs="Calibri"/>
              <w:i/>
              <w:iCs/>
              <w:color w:val="000000"/>
              <w:sz w:val="24"/>
              <w:szCs w:val="24"/>
            </w:rPr>
            <w:t>: Journal of Mathematics Education</w:t>
          </w:r>
          <w:r w:rsidRPr="0048355C">
            <w:rPr>
              <w:rFonts w:ascii="Palatino Linotype" w:hAnsi="Palatino Linotype" w:cs="Calibri"/>
              <w:color w:val="000000"/>
              <w:sz w:val="24"/>
              <w:szCs w:val="24"/>
            </w:rPr>
            <w:t xml:space="preserve">, vol. 10, no. 1, p. 125, May 2024,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10.30595/alphamath.v10i1.21530.</w:t>
          </w:r>
        </w:p>
        <w:p w14:paraId="4708CB88" w14:textId="3D75AFD6" w:rsidR="0078405D" w:rsidRPr="0048355C" w:rsidRDefault="0078405D" w:rsidP="0048355C">
          <w:pPr>
            <w:pStyle w:val="ListParagraph"/>
            <w:numPr>
              <w:ilvl w:val="0"/>
              <w:numId w:val="1"/>
            </w:numPr>
            <w:autoSpaceDE w:val="0"/>
            <w:autoSpaceDN w:val="0"/>
            <w:ind w:left="284" w:hanging="491"/>
            <w:jc w:val="both"/>
            <w:divId w:val="28916068"/>
            <w:rPr>
              <w:rFonts w:ascii="Palatino Linotype" w:hAnsi="Palatino Linotype" w:cs="Calibri"/>
              <w:color w:val="000000"/>
              <w:sz w:val="24"/>
              <w:szCs w:val="24"/>
            </w:rPr>
          </w:pPr>
          <w:r w:rsidRPr="0048355C">
            <w:rPr>
              <w:rFonts w:ascii="Palatino Linotype" w:hAnsi="Palatino Linotype" w:cs="Calibri"/>
              <w:color w:val="000000"/>
              <w:sz w:val="24"/>
              <w:szCs w:val="24"/>
            </w:rPr>
            <w:t>[25]</w:t>
          </w:r>
          <w:r w:rsidRPr="0048355C">
            <w:rPr>
              <w:rFonts w:ascii="Palatino Linotype" w:hAnsi="Palatino Linotype" w:cs="Calibri"/>
              <w:color w:val="000000"/>
              <w:sz w:val="24"/>
              <w:szCs w:val="24"/>
            </w:rPr>
            <w:tab/>
            <w:t xml:space="preserve">G. M. Reed, W. D. Spaulding, and L. F. </w:t>
          </w:r>
          <w:proofErr w:type="spellStart"/>
          <w:r w:rsidRPr="0048355C">
            <w:rPr>
              <w:rFonts w:ascii="Palatino Linotype" w:hAnsi="Palatino Linotype" w:cs="Calibri"/>
              <w:color w:val="000000"/>
              <w:sz w:val="24"/>
              <w:szCs w:val="24"/>
            </w:rPr>
            <w:t>Bufka</w:t>
          </w:r>
          <w:proofErr w:type="spellEnd"/>
          <w:r w:rsidRPr="0048355C">
            <w:rPr>
              <w:rFonts w:ascii="Palatino Linotype" w:hAnsi="Palatino Linotype" w:cs="Calibri"/>
              <w:color w:val="000000"/>
              <w:sz w:val="24"/>
              <w:szCs w:val="24"/>
            </w:rPr>
            <w:t xml:space="preserve">, “The relevance of the International Classification of Functioning, Disability and Health (ICF) to mental disorders and their treatment,” </w:t>
          </w:r>
          <w:r w:rsidRPr="0048355C">
            <w:rPr>
              <w:rFonts w:ascii="Palatino Linotype" w:hAnsi="Palatino Linotype" w:cs="Calibri"/>
              <w:i/>
              <w:iCs/>
              <w:color w:val="000000"/>
              <w:sz w:val="24"/>
              <w:szCs w:val="24"/>
            </w:rPr>
            <w:t>Alter</w:t>
          </w:r>
          <w:r w:rsidRPr="0048355C">
            <w:rPr>
              <w:rFonts w:ascii="Palatino Linotype" w:hAnsi="Palatino Linotype" w:cs="Calibri"/>
              <w:color w:val="000000"/>
              <w:sz w:val="24"/>
              <w:szCs w:val="24"/>
            </w:rPr>
            <w:t xml:space="preserve">, vol. 3, no. 4, pp. 340–359, 2009, </w:t>
          </w:r>
          <w:proofErr w:type="spellStart"/>
          <w:r w:rsidRPr="0048355C">
            <w:rPr>
              <w:rFonts w:ascii="Palatino Linotype" w:hAnsi="Palatino Linotype" w:cs="Calibri"/>
              <w:color w:val="000000"/>
              <w:sz w:val="24"/>
              <w:szCs w:val="24"/>
            </w:rPr>
            <w:t>doi</w:t>
          </w:r>
          <w:proofErr w:type="spellEnd"/>
          <w:r w:rsidRPr="0048355C">
            <w:rPr>
              <w:rFonts w:ascii="Palatino Linotype" w:hAnsi="Palatino Linotype" w:cs="Calibri"/>
              <w:color w:val="000000"/>
              <w:sz w:val="24"/>
              <w:szCs w:val="24"/>
            </w:rPr>
            <w:t xml:space="preserve">: </w:t>
          </w:r>
          <w:hyperlink r:id="rId8" w:history="1">
            <w:r w:rsidR="0048355C" w:rsidRPr="0048355C">
              <w:rPr>
                <w:rStyle w:val="Hyperlink"/>
                <w:rFonts w:ascii="Palatino Linotype" w:hAnsi="Palatino Linotype" w:cs="Calibri"/>
                <w:sz w:val="24"/>
                <w:szCs w:val="24"/>
              </w:rPr>
              <w:t>https://doi.org/10.1016/j.alter.2008.11.003</w:t>
            </w:r>
          </w:hyperlink>
          <w:r w:rsidRPr="0048355C">
            <w:rPr>
              <w:rFonts w:ascii="Palatino Linotype" w:hAnsi="Palatino Linotype" w:cs="Calibri"/>
              <w:color w:val="000000"/>
              <w:sz w:val="24"/>
              <w:szCs w:val="24"/>
            </w:rPr>
            <w:t>.</w:t>
          </w:r>
        </w:p>
        <w:p w14:paraId="630AEBCD"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Tobroni</w:t>
          </w:r>
          <w:proofErr w:type="spellEnd"/>
          <w:r w:rsidRPr="0048355C">
            <w:rPr>
              <w:rFonts w:ascii="Palatino Linotype" w:hAnsi="Palatino Linotype"/>
              <w:sz w:val="24"/>
              <w:szCs w:val="24"/>
            </w:rPr>
            <w:t xml:space="preserve">, T., &amp; </w:t>
          </w: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(2022). </w:t>
          </w:r>
          <w:proofErr w:type="spellStart"/>
          <w:r w:rsidRPr="0048355C">
            <w:rPr>
              <w:rFonts w:ascii="Palatino Linotype" w:hAnsi="Palatino Linotype"/>
              <w:sz w:val="24"/>
              <w:szCs w:val="24"/>
            </w:rPr>
            <w:t>Tipologi</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manajemen</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tradisional</w:t>
          </w:r>
          <w:proofErr w:type="spellEnd"/>
          <w:r w:rsidRPr="0048355C">
            <w:rPr>
              <w:rFonts w:ascii="Palatino Linotype" w:hAnsi="Palatino Linotype"/>
              <w:sz w:val="24"/>
              <w:szCs w:val="24"/>
            </w:rPr>
            <w:t xml:space="preserve"> dan modern </w:t>
          </w:r>
          <w:proofErr w:type="spellStart"/>
          <w:r w:rsidRPr="0048355C">
            <w:rPr>
              <w:rFonts w:ascii="Palatino Linotype" w:hAnsi="Palatino Linotype"/>
              <w:sz w:val="24"/>
              <w:szCs w:val="24"/>
            </w:rPr>
            <w:t>dalam</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perkembangan</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pendidikan</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pesantren</w:t>
          </w:r>
          <w:proofErr w:type="spellEnd"/>
          <w:r w:rsidRPr="0048355C">
            <w:rPr>
              <w:rFonts w:ascii="Palatino Linotype" w:hAnsi="Palatino Linotype"/>
              <w:sz w:val="24"/>
              <w:szCs w:val="24"/>
            </w:rPr>
            <w:t>. </w:t>
          </w:r>
          <w:r w:rsidRPr="0048355C">
            <w:rPr>
              <w:rFonts w:ascii="Palatino Linotype" w:hAnsi="Palatino Linotype"/>
              <w:i/>
              <w:iCs/>
              <w:sz w:val="24"/>
              <w:szCs w:val="24"/>
            </w:rPr>
            <w:t>Research and Development Journal of Education</w:t>
          </w:r>
          <w:r w:rsidRPr="0048355C">
            <w:rPr>
              <w:rFonts w:ascii="Palatino Linotype" w:hAnsi="Palatino Linotype"/>
              <w:sz w:val="24"/>
              <w:szCs w:val="24"/>
            </w:rPr>
            <w:t>, </w:t>
          </w:r>
          <w:r w:rsidRPr="0048355C">
            <w:rPr>
              <w:rFonts w:ascii="Palatino Linotype" w:hAnsi="Palatino Linotype"/>
              <w:i/>
              <w:iCs/>
              <w:sz w:val="24"/>
              <w:szCs w:val="24"/>
            </w:rPr>
            <w:t>8</w:t>
          </w:r>
          <w:r w:rsidRPr="0048355C">
            <w:rPr>
              <w:rFonts w:ascii="Palatino Linotype" w:hAnsi="Palatino Linotype"/>
              <w:sz w:val="24"/>
              <w:szCs w:val="24"/>
            </w:rPr>
            <w:t>(1), 333-338.</w:t>
          </w:r>
        </w:p>
        <w:p w14:paraId="35050D69"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E. (2023). Various Paradigms in Islamic Educational Thought: Fundamentalism, Modernism, and Liberalism. </w:t>
          </w:r>
          <w:r w:rsidRPr="0048355C">
            <w:rPr>
              <w:rFonts w:ascii="Palatino Linotype" w:hAnsi="Palatino Linotype"/>
              <w:i/>
              <w:iCs/>
              <w:sz w:val="24"/>
              <w:szCs w:val="24"/>
            </w:rPr>
            <w:t>International Journal of Health, Economics, and Social Sciences (IJHESS)</w:t>
          </w:r>
          <w:r w:rsidRPr="0048355C">
            <w:rPr>
              <w:rFonts w:ascii="Palatino Linotype" w:hAnsi="Palatino Linotype"/>
              <w:sz w:val="24"/>
              <w:szCs w:val="24"/>
            </w:rPr>
            <w:t>, </w:t>
          </w:r>
          <w:r w:rsidRPr="0048355C">
            <w:rPr>
              <w:rFonts w:ascii="Palatino Linotype" w:hAnsi="Palatino Linotype"/>
              <w:i/>
              <w:iCs/>
              <w:sz w:val="24"/>
              <w:szCs w:val="24"/>
            </w:rPr>
            <w:t>5</w:t>
          </w:r>
          <w:r w:rsidRPr="0048355C">
            <w:rPr>
              <w:rFonts w:ascii="Palatino Linotype" w:hAnsi="Palatino Linotype"/>
              <w:sz w:val="24"/>
              <w:szCs w:val="24"/>
            </w:rPr>
            <w:t>(2), 139-145.</w:t>
          </w:r>
        </w:p>
        <w:p w14:paraId="1DE04B3D"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Tobroni</w:t>
          </w:r>
          <w:proofErr w:type="spellEnd"/>
          <w:r w:rsidRPr="0048355C">
            <w:rPr>
              <w:rFonts w:ascii="Palatino Linotype" w:hAnsi="Palatino Linotype"/>
              <w:sz w:val="24"/>
              <w:szCs w:val="24"/>
            </w:rPr>
            <w:t xml:space="preserve">, T., </w:t>
          </w: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w:t>
          </w:r>
          <w:proofErr w:type="spellStart"/>
          <w:r w:rsidRPr="0048355C">
            <w:rPr>
              <w:rFonts w:ascii="Palatino Linotype" w:hAnsi="Palatino Linotype"/>
              <w:sz w:val="24"/>
              <w:szCs w:val="24"/>
            </w:rPr>
            <w:t>Rajindra</w:t>
          </w:r>
          <w:proofErr w:type="spellEnd"/>
          <w:r w:rsidRPr="0048355C">
            <w:rPr>
              <w:rFonts w:ascii="Palatino Linotype" w:hAnsi="Palatino Linotype"/>
              <w:sz w:val="24"/>
              <w:szCs w:val="24"/>
            </w:rPr>
            <w:t xml:space="preserve">, R., &amp; </w:t>
          </w:r>
          <w:proofErr w:type="spellStart"/>
          <w:r w:rsidRPr="0048355C">
            <w:rPr>
              <w:rFonts w:ascii="Palatino Linotype" w:hAnsi="Palatino Linotype"/>
              <w:sz w:val="24"/>
              <w:szCs w:val="24"/>
            </w:rPr>
            <w:t>Fadli</w:t>
          </w:r>
          <w:proofErr w:type="spellEnd"/>
          <w:r w:rsidRPr="0048355C">
            <w:rPr>
              <w:rFonts w:ascii="Palatino Linotype" w:hAnsi="Palatino Linotype"/>
              <w:sz w:val="24"/>
              <w:szCs w:val="24"/>
            </w:rPr>
            <w:t>, N. (2023). Spirituality as a paradigm of peace education. </w:t>
          </w:r>
          <w:r w:rsidRPr="0048355C">
            <w:rPr>
              <w:rFonts w:ascii="Palatino Linotype" w:hAnsi="Palatino Linotype"/>
              <w:i/>
              <w:iCs/>
              <w:sz w:val="24"/>
              <w:szCs w:val="24"/>
            </w:rPr>
            <w:t>Multicultural Islamic Education Review</w:t>
          </w:r>
          <w:r w:rsidRPr="0048355C">
            <w:rPr>
              <w:rFonts w:ascii="Palatino Linotype" w:hAnsi="Palatino Linotype"/>
              <w:sz w:val="24"/>
              <w:szCs w:val="24"/>
            </w:rPr>
            <w:t>, 23-32.</w:t>
          </w:r>
        </w:p>
        <w:p w14:paraId="40B331AF"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r w:rsidRPr="0048355C">
            <w:rPr>
              <w:rFonts w:ascii="Palatino Linotype" w:hAnsi="Palatino Linotype"/>
              <w:sz w:val="24"/>
              <w:szCs w:val="24"/>
            </w:rPr>
            <w:t xml:space="preserve">Bakar, M. Y. A., </w:t>
          </w: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&amp; </w:t>
          </w:r>
          <w:proofErr w:type="spellStart"/>
          <w:r w:rsidRPr="0048355C">
            <w:rPr>
              <w:rFonts w:ascii="Palatino Linotype" w:hAnsi="Palatino Linotype"/>
              <w:sz w:val="24"/>
              <w:szCs w:val="24"/>
            </w:rPr>
            <w:t>Abdeljelil</w:t>
          </w:r>
          <w:proofErr w:type="spellEnd"/>
          <w:r w:rsidRPr="0048355C">
            <w:rPr>
              <w:rFonts w:ascii="Palatino Linotype" w:hAnsi="Palatino Linotype"/>
              <w:sz w:val="24"/>
              <w:szCs w:val="24"/>
            </w:rPr>
            <w:t>, M. B. (2024). Legal framework analysis of Islamic religious education policy implementation. </w:t>
          </w:r>
          <w:r w:rsidRPr="0048355C">
            <w:rPr>
              <w:rFonts w:ascii="Palatino Linotype" w:hAnsi="Palatino Linotype"/>
              <w:i/>
              <w:iCs/>
              <w:sz w:val="24"/>
              <w:szCs w:val="24"/>
            </w:rPr>
            <w:t>International Journal of Law and Society</w:t>
          </w:r>
          <w:r w:rsidRPr="0048355C">
            <w:rPr>
              <w:rFonts w:ascii="Palatino Linotype" w:hAnsi="Palatino Linotype"/>
              <w:sz w:val="24"/>
              <w:szCs w:val="24"/>
            </w:rPr>
            <w:t>, </w:t>
          </w:r>
          <w:r w:rsidRPr="0048355C">
            <w:rPr>
              <w:rFonts w:ascii="Palatino Linotype" w:hAnsi="Palatino Linotype"/>
              <w:i/>
              <w:iCs/>
              <w:sz w:val="24"/>
              <w:szCs w:val="24"/>
            </w:rPr>
            <w:t>3</w:t>
          </w:r>
          <w:r w:rsidRPr="0048355C">
            <w:rPr>
              <w:rFonts w:ascii="Palatino Linotype" w:hAnsi="Palatino Linotype"/>
              <w:sz w:val="24"/>
              <w:szCs w:val="24"/>
            </w:rPr>
            <w:t>(3), 217-237.</w:t>
          </w:r>
        </w:p>
        <w:p w14:paraId="3585EE33"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Anwar, S., &amp; </w:t>
          </w:r>
          <w:proofErr w:type="spellStart"/>
          <w:r w:rsidRPr="0048355C">
            <w:rPr>
              <w:rFonts w:ascii="Palatino Linotype" w:hAnsi="Palatino Linotype"/>
              <w:sz w:val="24"/>
              <w:szCs w:val="24"/>
            </w:rPr>
            <w:t>Khozin</w:t>
          </w:r>
          <w:proofErr w:type="spellEnd"/>
          <w:r w:rsidRPr="0048355C">
            <w:rPr>
              <w:rFonts w:ascii="Palatino Linotype" w:hAnsi="Palatino Linotype"/>
              <w:sz w:val="24"/>
              <w:szCs w:val="24"/>
            </w:rPr>
            <w:t>, K. (2023). Anthropological Approach to Islamic Education: Establishing Noble Spirituality in Overcoming Social Conflict. </w:t>
          </w:r>
          <w:r w:rsidRPr="0048355C">
            <w:rPr>
              <w:rFonts w:ascii="Palatino Linotype" w:hAnsi="Palatino Linotype"/>
              <w:i/>
              <w:iCs/>
              <w:sz w:val="24"/>
              <w:szCs w:val="24"/>
            </w:rPr>
            <w:t>Al-Hayat: Journal of Islamic Education</w:t>
          </w:r>
          <w:r w:rsidRPr="0048355C">
            <w:rPr>
              <w:rFonts w:ascii="Palatino Linotype" w:hAnsi="Palatino Linotype"/>
              <w:sz w:val="24"/>
              <w:szCs w:val="24"/>
            </w:rPr>
            <w:t>, </w:t>
          </w:r>
          <w:r w:rsidRPr="0048355C">
            <w:rPr>
              <w:rFonts w:ascii="Palatino Linotype" w:hAnsi="Palatino Linotype"/>
              <w:i/>
              <w:iCs/>
              <w:sz w:val="24"/>
              <w:szCs w:val="24"/>
            </w:rPr>
            <w:t>7</w:t>
          </w:r>
          <w:r w:rsidRPr="0048355C">
            <w:rPr>
              <w:rFonts w:ascii="Palatino Linotype" w:hAnsi="Palatino Linotype"/>
              <w:sz w:val="24"/>
              <w:szCs w:val="24"/>
            </w:rPr>
            <w:t>(1), 163-172.</w:t>
          </w:r>
        </w:p>
        <w:p w14:paraId="6E0FFC62"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w:t>
          </w:r>
          <w:proofErr w:type="spellStart"/>
          <w:r w:rsidRPr="0048355C">
            <w:rPr>
              <w:rFonts w:ascii="Palatino Linotype" w:hAnsi="Palatino Linotype"/>
              <w:sz w:val="24"/>
              <w:szCs w:val="24"/>
            </w:rPr>
            <w:t>Tobroni</w:t>
          </w:r>
          <w:proofErr w:type="spellEnd"/>
          <w:r w:rsidRPr="0048355C">
            <w:rPr>
              <w:rFonts w:ascii="Palatino Linotype" w:hAnsi="Palatino Linotype"/>
              <w:sz w:val="24"/>
              <w:szCs w:val="24"/>
            </w:rPr>
            <w:t xml:space="preserve">, T., &amp; </w:t>
          </w:r>
          <w:proofErr w:type="spellStart"/>
          <w:r w:rsidRPr="0048355C">
            <w:rPr>
              <w:rFonts w:ascii="Palatino Linotype" w:hAnsi="Palatino Linotype"/>
              <w:sz w:val="24"/>
              <w:szCs w:val="24"/>
            </w:rPr>
            <w:t>Rusady</w:t>
          </w:r>
          <w:proofErr w:type="spellEnd"/>
          <w:r w:rsidRPr="0048355C">
            <w:rPr>
              <w:rFonts w:ascii="Palatino Linotype" w:hAnsi="Palatino Linotype"/>
              <w:sz w:val="24"/>
              <w:szCs w:val="24"/>
            </w:rPr>
            <w:t xml:space="preserve">, A. T. (2023). </w:t>
          </w:r>
          <w:proofErr w:type="spellStart"/>
          <w:r w:rsidRPr="0048355C">
            <w:rPr>
              <w:rFonts w:ascii="Palatino Linotype" w:hAnsi="Palatino Linotype"/>
              <w:sz w:val="24"/>
              <w:szCs w:val="24"/>
            </w:rPr>
            <w:t>Internalisasi</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Ajaran</w:t>
          </w:r>
          <w:proofErr w:type="spellEnd"/>
          <w:r w:rsidRPr="0048355C">
            <w:rPr>
              <w:rFonts w:ascii="Palatino Linotype" w:hAnsi="Palatino Linotype"/>
              <w:sz w:val="24"/>
              <w:szCs w:val="24"/>
            </w:rPr>
            <w:t xml:space="preserve"> Islam </w:t>
          </w:r>
          <w:proofErr w:type="spellStart"/>
          <w:r w:rsidRPr="0048355C">
            <w:rPr>
              <w:rFonts w:ascii="Palatino Linotype" w:hAnsi="Palatino Linotype"/>
              <w:sz w:val="24"/>
              <w:szCs w:val="24"/>
            </w:rPr>
            <w:t>Dalam</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Aktivitas</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Budaya</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Etnik</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Kaili</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Prespektif</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Antropologi</w:t>
          </w:r>
          <w:proofErr w:type="spellEnd"/>
          <w:r w:rsidRPr="0048355C">
            <w:rPr>
              <w:rFonts w:ascii="Palatino Linotype" w:hAnsi="Palatino Linotype"/>
              <w:sz w:val="24"/>
              <w:szCs w:val="24"/>
            </w:rPr>
            <w:t xml:space="preserve"> Pendidikan Islam. </w:t>
          </w:r>
          <w:r w:rsidRPr="0048355C">
            <w:rPr>
              <w:rFonts w:ascii="Palatino Linotype" w:hAnsi="Palatino Linotype"/>
              <w:i/>
              <w:iCs/>
              <w:sz w:val="24"/>
              <w:szCs w:val="24"/>
            </w:rPr>
            <w:t>Research and Development Journal of Education</w:t>
          </w:r>
          <w:r w:rsidRPr="0048355C">
            <w:rPr>
              <w:rFonts w:ascii="Palatino Linotype" w:hAnsi="Palatino Linotype"/>
              <w:sz w:val="24"/>
              <w:szCs w:val="24"/>
            </w:rPr>
            <w:t>, </w:t>
          </w:r>
          <w:r w:rsidRPr="0048355C">
            <w:rPr>
              <w:rFonts w:ascii="Palatino Linotype" w:hAnsi="Palatino Linotype"/>
              <w:i/>
              <w:iCs/>
              <w:sz w:val="24"/>
              <w:szCs w:val="24"/>
            </w:rPr>
            <w:t>9</w:t>
          </w:r>
          <w:r w:rsidRPr="0048355C">
            <w:rPr>
              <w:rFonts w:ascii="Palatino Linotype" w:hAnsi="Palatino Linotype"/>
              <w:sz w:val="24"/>
              <w:szCs w:val="24"/>
            </w:rPr>
            <w:t>(1), 285-299.</w:t>
          </w:r>
        </w:p>
        <w:p w14:paraId="76521DFB"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&amp; Idris, A. (2024). Moderation as a Solution to Religious Harmony in </w:t>
          </w:r>
          <w:proofErr w:type="spellStart"/>
          <w:r w:rsidRPr="0048355C">
            <w:rPr>
              <w:rFonts w:ascii="Palatino Linotype" w:hAnsi="Palatino Linotype"/>
              <w:sz w:val="24"/>
              <w:szCs w:val="24"/>
            </w:rPr>
            <w:t>Poso</w:t>
          </w:r>
          <w:proofErr w:type="spellEnd"/>
          <w:r w:rsidRPr="0048355C">
            <w:rPr>
              <w:rFonts w:ascii="Palatino Linotype" w:hAnsi="Palatino Linotype"/>
              <w:sz w:val="24"/>
              <w:szCs w:val="24"/>
            </w:rPr>
            <w:t xml:space="preserve"> Central Sulawesi. </w:t>
          </w:r>
          <w:r w:rsidRPr="0048355C">
            <w:rPr>
              <w:rFonts w:ascii="Palatino Linotype" w:hAnsi="Palatino Linotype"/>
              <w:i/>
              <w:iCs/>
              <w:sz w:val="24"/>
              <w:szCs w:val="24"/>
            </w:rPr>
            <w:t>International Journal of Law and Society</w:t>
          </w:r>
          <w:r w:rsidRPr="0048355C">
            <w:rPr>
              <w:rFonts w:ascii="Palatino Linotype" w:hAnsi="Palatino Linotype"/>
              <w:sz w:val="24"/>
              <w:szCs w:val="24"/>
            </w:rPr>
            <w:t>, </w:t>
          </w:r>
          <w:r w:rsidRPr="0048355C">
            <w:rPr>
              <w:rFonts w:ascii="Palatino Linotype" w:hAnsi="Palatino Linotype"/>
              <w:i/>
              <w:iCs/>
              <w:sz w:val="24"/>
              <w:szCs w:val="24"/>
            </w:rPr>
            <w:t>3</w:t>
          </w:r>
          <w:r w:rsidRPr="0048355C">
            <w:rPr>
              <w:rFonts w:ascii="Palatino Linotype" w:hAnsi="Palatino Linotype"/>
              <w:sz w:val="24"/>
              <w:szCs w:val="24"/>
            </w:rPr>
            <w:t>(1), 1-9.</w:t>
          </w:r>
        </w:p>
        <w:p w14:paraId="4755130E"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Setiyawan</w:t>
          </w:r>
          <w:proofErr w:type="spellEnd"/>
          <w:r w:rsidRPr="0048355C">
            <w:rPr>
              <w:rFonts w:ascii="Palatino Linotype" w:hAnsi="Palatino Linotype"/>
              <w:sz w:val="24"/>
              <w:szCs w:val="24"/>
            </w:rPr>
            <w:t xml:space="preserve">, R., </w:t>
          </w:r>
          <w:proofErr w:type="spellStart"/>
          <w:r w:rsidRPr="0048355C">
            <w:rPr>
              <w:rFonts w:ascii="Palatino Linotype" w:hAnsi="Palatino Linotype"/>
              <w:sz w:val="24"/>
              <w:szCs w:val="24"/>
            </w:rPr>
            <w:t>Hamsiah</w:t>
          </w:r>
          <w:proofErr w:type="spellEnd"/>
          <w:r w:rsidRPr="0048355C">
            <w:rPr>
              <w:rFonts w:ascii="Palatino Linotype" w:hAnsi="Palatino Linotype"/>
              <w:sz w:val="24"/>
              <w:szCs w:val="24"/>
            </w:rPr>
            <w:t xml:space="preserve">, W., Wahyuni, H. I., Ramadhan, S., &amp; </w:t>
          </w: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E. (2026). Local Kyai's Religious Elite Transformation and Governance Paradox: A Comparative Study of Indonesia and Iran. </w:t>
          </w:r>
          <w:r w:rsidRPr="0048355C">
            <w:rPr>
              <w:rFonts w:ascii="Palatino Linotype" w:hAnsi="Palatino Linotype"/>
              <w:i/>
              <w:iCs/>
              <w:sz w:val="24"/>
              <w:szCs w:val="24"/>
            </w:rPr>
            <w:t>International Journal of Law and Society</w:t>
          </w:r>
          <w:r w:rsidRPr="0048355C">
            <w:rPr>
              <w:rFonts w:ascii="Palatino Linotype" w:hAnsi="Palatino Linotype"/>
              <w:sz w:val="24"/>
              <w:szCs w:val="24"/>
            </w:rPr>
            <w:t>, </w:t>
          </w:r>
          <w:r w:rsidRPr="0048355C">
            <w:rPr>
              <w:rFonts w:ascii="Palatino Linotype" w:hAnsi="Palatino Linotype"/>
              <w:i/>
              <w:iCs/>
              <w:sz w:val="24"/>
              <w:szCs w:val="24"/>
            </w:rPr>
            <w:t>5</w:t>
          </w:r>
          <w:r w:rsidRPr="0048355C">
            <w:rPr>
              <w:rFonts w:ascii="Palatino Linotype" w:hAnsi="Palatino Linotype"/>
              <w:sz w:val="24"/>
              <w:szCs w:val="24"/>
            </w:rPr>
            <w:t>(2), 290-306.</w:t>
          </w:r>
        </w:p>
        <w:p w14:paraId="25C8D714"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E., &amp; Khalil, A. I. M. (2026). Epistemic Reclamation of Indigenous Local Wisdom as a Counter-Narrative to Anthropocentrism in Planetary Crisis Governance. </w:t>
          </w:r>
          <w:r w:rsidRPr="0048355C">
            <w:rPr>
              <w:rFonts w:ascii="Palatino Linotype" w:hAnsi="Palatino Linotype"/>
              <w:i/>
              <w:iCs/>
              <w:sz w:val="24"/>
              <w:szCs w:val="24"/>
            </w:rPr>
            <w:t>International Journal of Education and Cultural Transformation</w:t>
          </w:r>
          <w:r w:rsidRPr="0048355C">
            <w:rPr>
              <w:rFonts w:ascii="Palatino Linotype" w:hAnsi="Palatino Linotype"/>
              <w:sz w:val="24"/>
              <w:szCs w:val="24"/>
            </w:rPr>
            <w:t>, </w:t>
          </w:r>
          <w:r w:rsidRPr="0048355C">
            <w:rPr>
              <w:rFonts w:ascii="Palatino Linotype" w:hAnsi="Palatino Linotype"/>
              <w:i/>
              <w:iCs/>
              <w:sz w:val="24"/>
              <w:szCs w:val="24"/>
            </w:rPr>
            <w:t>1</w:t>
          </w:r>
          <w:r w:rsidRPr="0048355C">
            <w:rPr>
              <w:rFonts w:ascii="Palatino Linotype" w:hAnsi="Palatino Linotype"/>
              <w:sz w:val="24"/>
              <w:szCs w:val="24"/>
            </w:rPr>
            <w:t>(01).</w:t>
          </w:r>
        </w:p>
        <w:p w14:paraId="24EFEFB0"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&amp; </w:t>
          </w:r>
          <w:proofErr w:type="spellStart"/>
          <w:r w:rsidRPr="0048355C">
            <w:rPr>
              <w:rFonts w:ascii="Palatino Linotype" w:hAnsi="Palatino Linotype"/>
              <w:sz w:val="24"/>
              <w:szCs w:val="24"/>
            </w:rPr>
            <w:t>Ikwan</w:t>
          </w:r>
          <w:proofErr w:type="spellEnd"/>
          <w:r w:rsidRPr="0048355C">
            <w:rPr>
              <w:rFonts w:ascii="Palatino Linotype" w:hAnsi="Palatino Linotype"/>
              <w:sz w:val="24"/>
              <w:szCs w:val="24"/>
            </w:rPr>
            <w:t>, A. (2026). Inclusive Education as a Catalyst for Social Transformation: A Systematic Literature Review. </w:t>
          </w:r>
          <w:r w:rsidRPr="0048355C">
            <w:rPr>
              <w:rFonts w:ascii="Palatino Linotype" w:hAnsi="Palatino Linotype"/>
              <w:i/>
              <w:iCs/>
              <w:sz w:val="24"/>
              <w:szCs w:val="24"/>
            </w:rPr>
            <w:t>SUNDANO: International Journal of Education, Society and Cultural Transformation</w:t>
          </w:r>
          <w:r w:rsidRPr="0048355C">
            <w:rPr>
              <w:rFonts w:ascii="Palatino Linotype" w:hAnsi="Palatino Linotype"/>
              <w:sz w:val="24"/>
              <w:szCs w:val="24"/>
            </w:rPr>
            <w:t>, </w:t>
          </w:r>
          <w:r w:rsidRPr="0048355C">
            <w:rPr>
              <w:rFonts w:ascii="Palatino Linotype" w:hAnsi="Palatino Linotype"/>
              <w:i/>
              <w:iCs/>
              <w:sz w:val="24"/>
              <w:szCs w:val="24"/>
            </w:rPr>
            <w:t>1</w:t>
          </w:r>
          <w:r w:rsidRPr="0048355C">
            <w:rPr>
              <w:rFonts w:ascii="Palatino Linotype" w:hAnsi="Palatino Linotype"/>
              <w:sz w:val="24"/>
              <w:szCs w:val="24"/>
            </w:rPr>
            <w:t>(01).</w:t>
          </w:r>
        </w:p>
        <w:p w14:paraId="23CAE91D"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lastRenderedPageBreak/>
            <w:t>Firmansyah</w:t>
          </w:r>
          <w:proofErr w:type="spellEnd"/>
          <w:r w:rsidRPr="0048355C">
            <w:rPr>
              <w:rFonts w:ascii="Palatino Linotype" w:hAnsi="Palatino Linotype"/>
              <w:sz w:val="24"/>
              <w:szCs w:val="24"/>
            </w:rPr>
            <w:t>, E. (2026). Determinants of Social Inclusion from a Gender Perspective Among Vulnerable Populations. </w:t>
          </w:r>
          <w:r w:rsidRPr="0048355C">
            <w:rPr>
              <w:rFonts w:ascii="Palatino Linotype" w:hAnsi="Palatino Linotype"/>
              <w:i/>
              <w:iCs/>
              <w:sz w:val="24"/>
              <w:szCs w:val="24"/>
            </w:rPr>
            <w:t>SUNDANO: International Journal of Education, Society and Cultural Transformation</w:t>
          </w:r>
          <w:r w:rsidRPr="0048355C">
            <w:rPr>
              <w:rFonts w:ascii="Palatino Linotype" w:hAnsi="Palatino Linotype"/>
              <w:sz w:val="24"/>
              <w:szCs w:val="24"/>
            </w:rPr>
            <w:t>, </w:t>
          </w:r>
          <w:r w:rsidRPr="0048355C">
            <w:rPr>
              <w:rFonts w:ascii="Palatino Linotype" w:hAnsi="Palatino Linotype"/>
              <w:i/>
              <w:iCs/>
              <w:sz w:val="24"/>
              <w:szCs w:val="24"/>
            </w:rPr>
            <w:t>1</w:t>
          </w:r>
          <w:r w:rsidRPr="0048355C">
            <w:rPr>
              <w:rFonts w:ascii="Palatino Linotype" w:hAnsi="Palatino Linotype"/>
              <w:sz w:val="24"/>
              <w:szCs w:val="24"/>
            </w:rPr>
            <w:t>(01).</w:t>
          </w:r>
        </w:p>
        <w:p w14:paraId="3A5DBD86" w14:textId="77777777" w:rsidR="0048355C" w:rsidRPr="0048355C" w:rsidRDefault="0048355C" w:rsidP="0048355C">
          <w:pPr>
            <w:pStyle w:val="ListParagraph"/>
            <w:numPr>
              <w:ilvl w:val="0"/>
              <w:numId w:val="1"/>
            </w:numPr>
            <w:ind w:left="284" w:hanging="491"/>
            <w:jc w:val="both"/>
            <w:divId w:val="28916068"/>
            <w:rPr>
              <w:rFonts w:ascii="Palatino Linotype" w:hAnsi="Palatino Linotype"/>
              <w:sz w:val="24"/>
              <w:szCs w:val="24"/>
            </w:rPr>
          </w:pPr>
          <w:proofErr w:type="spellStart"/>
          <w:r w:rsidRPr="0048355C">
            <w:rPr>
              <w:rFonts w:ascii="Palatino Linotype" w:hAnsi="Palatino Linotype"/>
              <w:sz w:val="24"/>
              <w:szCs w:val="24"/>
            </w:rPr>
            <w:t>Firmansyah</w:t>
          </w:r>
          <w:proofErr w:type="spellEnd"/>
          <w:r w:rsidRPr="0048355C">
            <w:rPr>
              <w:rFonts w:ascii="Palatino Linotype" w:hAnsi="Palatino Linotype"/>
              <w:sz w:val="24"/>
              <w:szCs w:val="24"/>
            </w:rPr>
            <w:t xml:space="preserve">, E., </w:t>
          </w:r>
          <w:proofErr w:type="spellStart"/>
          <w:r w:rsidRPr="0048355C">
            <w:rPr>
              <w:rFonts w:ascii="Palatino Linotype" w:hAnsi="Palatino Linotype"/>
              <w:sz w:val="24"/>
              <w:szCs w:val="24"/>
            </w:rPr>
            <w:t>Sumantri</w:t>
          </w:r>
          <w:proofErr w:type="spellEnd"/>
          <w:r w:rsidRPr="0048355C">
            <w:rPr>
              <w:rFonts w:ascii="Palatino Linotype" w:hAnsi="Palatino Linotype"/>
              <w:sz w:val="24"/>
              <w:szCs w:val="24"/>
            </w:rPr>
            <w:t xml:space="preserve">, P. A. H., </w:t>
          </w:r>
          <w:proofErr w:type="spellStart"/>
          <w:r w:rsidRPr="0048355C">
            <w:rPr>
              <w:rFonts w:ascii="Palatino Linotype" w:hAnsi="Palatino Linotype"/>
              <w:sz w:val="24"/>
              <w:szCs w:val="24"/>
            </w:rPr>
            <w:t>Mutmainna</w:t>
          </w:r>
          <w:proofErr w:type="spellEnd"/>
          <w:r w:rsidRPr="0048355C">
            <w:rPr>
              <w:rFonts w:ascii="Palatino Linotype" w:hAnsi="Palatino Linotype"/>
              <w:sz w:val="24"/>
              <w:szCs w:val="24"/>
            </w:rPr>
            <w:t xml:space="preserve">, N., &amp; </w:t>
          </w:r>
          <w:proofErr w:type="spellStart"/>
          <w:r w:rsidRPr="0048355C">
            <w:rPr>
              <w:rFonts w:ascii="Palatino Linotype" w:hAnsi="Palatino Linotype"/>
              <w:sz w:val="24"/>
              <w:szCs w:val="24"/>
            </w:rPr>
            <w:t>Azizah</w:t>
          </w:r>
          <w:proofErr w:type="spellEnd"/>
          <w:r w:rsidRPr="0048355C">
            <w:rPr>
              <w:rFonts w:ascii="Palatino Linotype" w:hAnsi="Palatino Linotype"/>
              <w:sz w:val="24"/>
              <w:szCs w:val="24"/>
            </w:rPr>
            <w:t xml:space="preserve">, N. (2025). </w:t>
          </w:r>
          <w:proofErr w:type="spellStart"/>
          <w:r w:rsidRPr="0048355C">
            <w:rPr>
              <w:rFonts w:ascii="Palatino Linotype" w:hAnsi="Palatino Linotype"/>
              <w:sz w:val="24"/>
              <w:szCs w:val="24"/>
            </w:rPr>
            <w:t>Implementasi</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Ta'awun</w:t>
          </w:r>
          <w:proofErr w:type="spellEnd"/>
          <w:r w:rsidRPr="0048355C">
            <w:rPr>
              <w:rFonts w:ascii="Palatino Linotype" w:hAnsi="Palatino Linotype"/>
              <w:sz w:val="24"/>
              <w:szCs w:val="24"/>
            </w:rPr>
            <w:t xml:space="preserve"> dan </w:t>
          </w:r>
          <w:proofErr w:type="spellStart"/>
          <w:r w:rsidRPr="0048355C">
            <w:rPr>
              <w:rFonts w:ascii="Palatino Linotype" w:hAnsi="Palatino Linotype"/>
              <w:sz w:val="24"/>
              <w:szCs w:val="24"/>
            </w:rPr>
            <w:t>Ukhuwah</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Wathaniyah</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melalui</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Tradisi</w:t>
          </w:r>
          <w:proofErr w:type="spellEnd"/>
          <w:r w:rsidRPr="0048355C">
            <w:rPr>
              <w:rFonts w:ascii="Palatino Linotype" w:hAnsi="Palatino Linotype"/>
              <w:sz w:val="24"/>
              <w:szCs w:val="24"/>
            </w:rPr>
            <w:t xml:space="preserve"> Gotong Royong di </w:t>
          </w:r>
          <w:proofErr w:type="spellStart"/>
          <w:r w:rsidRPr="0048355C">
            <w:rPr>
              <w:rFonts w:ascii="Palatino Linotype" w:hAnsi="Palatino Linotype"/>
              <w:sz w:val="24"/>
              <w:szCs w:val="24"/>
            </w:rPr>
            <w:t>Desa</w:t>
          </w:r>
          <w:proofErr w:type="spellEnd"/>
          <w:r w:rsidRPr="0048355C">
            <w:rPr>
              <w:rFonts w:ascii="Palatino Linotype" w:hAnsi="Palatino Linotype"/>
              <w:sz w:val="24"/>
              <w:szCs w:val="24"/>
            </w:rPr>
            <w:t xml:space="preserve"> </w:t>
          </w:r>
          <w:proofErr w:type="spellStart"/>
          <w:r w:rsidRPr="0048355C">
            <w:rPr>
              <w:rFonts w:ascii="Palatino Linotype" w:hAnsi="Palatino Linotype"/>
              <w:sz w:val="24"/>
              <w:szCs w:val="24"/>
            </w:rPr>
            <w:t>Pombewe</w:t>
          </w:r>
          <w:proofErr w:type="spellEnd"/>
          <w:r w:rsidRPr="0048355C">
            <w:rPr>
              <w:rFonts w:ascii="Palatino Linotype" w:hAnsi="Palatino Linotype"/>
              <w:sz w:val="24"/>
              <w:szCs w:val="24"/>
            </w:rPr>
            <w:t>. </w:t>
          </w:r>
          <w:r w:rsidRPr="0048355C">
            <w:rPr>
              <w:rFonts w:ascii="Palatino Linotype" w:hAnsi="Palatino Linotype"/>
              <w:i/>
              <w:iCs/>
              <w:sz w:val="24"/>
              <w:szCs w:val="24"/>
            </w:rPr>
            <w:t xml:space="preserve">Iqra: </w:t>
          </w:r>
          <w:proofErr w:type="spellStart"/>
          <w:r w:rsidRPr="0048355C">
            <w:rPr>
              <w:rFonts w:ascii="Palatino Linotype" w:hAnsi="Palatino Linotype"/>
              <w:i/>
              <w:iCs/>
              <w:sz w:val="24"/>
              <w:szCs w:val="24"/>
            </w:rPr>
            <w:t>Jurnal</w:t>
          </w:r>
          <w:proofErr w:type="spellEnd"/>
          <w:r w:rsidRPr="0048355C">
            <w:rPr>
              <w:rFonts w:ascii="Palatino Linotype" w:hAnsi="Palatino Linotype"/>
              <w:i/>
              <w:iCs/>
              <w:sz w:val="24"/>
              <w:szCs w:val="24"/>
            </w:rPr>
            <w:t xml:space="preserve"> </w:t>
          </w:r>
          <w:proofErr w:type="spellStart"/>
          <w:r w:rsidRPr="0048355C">
            <w:rPr>
              <w:rFonts w:ascii="Palatino Linotype" w:hAnsi="Palatino Linotype"/>
              <w:i/>
              <w:iCs/>
              <w:sz w:val="24"/>
              <w:szCs w:val="24"/>
            </w:rPr>
            <w:t>Ilmu</w:t>
          </w:r>
          <w:proofErr w:type="spellEnd"/>
          <w:r w:rsidRPr="0048355C">
            <w:rPr>
              <w:rFonts w:ascii="Palatino Linotype" w:hAnsi="Palatino Linotype"/>
              <w:i/>
              <w:iCs/>
              <w:sz w:val="24"/>
              <w:szCs w:val="24"/>
            </w:rPr>
            <w:t xml:space="preserve"> </w:t>
          </w:r>
          <w:proofErr w:type="spellStart"/>
          <w:r w:rsidRPr="0048355C">
            <w:rPr>
              <w:rFonts w:ascii="Palatino Linotype" w:hAnsi="Palatino Linotype"/>
              <w:i/>
              <w:iCs/>
              <w:sz w:val="24"/>
              <w:szCs w:val="24"/>
            </w:rPr>
            <w:t>Kependidikan</w:t>
          </w:r>
          <w:proofErr w:type="spellEnd"/>
          <w:r w:rsidRPr="0048355C">
            <w:rPr>
              <w:rFonts w:ascii="Palatino Linotype" w:hAnsi="Palatino Linotype"/>
              <w:i/>
              <w:iCs/>
              <w:sz w:val="24"/>
              <w:szCs w:val="24"/>
            </w:rPr>
            <w:t xml:space="preserve"> Dan </w:t>
          </w:r>
          <w:proofErr w:type="spellStart"/>
          <w:r w:rsidRPr="0048355C">
            <w:rPr>
              <w:rFonts w:ascii="Palatino Linotype" w:hAnsi="Palatino Linotype"/>
              <w:i/>
              <w:iCs/>
              <w:sz w:val="24"/>
              <w:szCs w:val="24"/>
            </w:rPr>
            <w:t>Keislaman</w:t>
          </w:r>
          <w:proofErr w:type="spellEnd"/>
          <w:r w:rsidRPr="0048355C">
            <w:rPr>
              <w:rFonts w:ascii="Palatino Linotype" w:hAnsi="Palatino Linotype"/>
              <w:sz w:val="24"/>
              <w:szCs w:val="24"/>
            </w:rPr>
            <w:t>, </w:t>
          </w:r>
          <w:r w:rsidRPr="0048355C">
            <w:rPr>
              <w:rFonts w:ascii="Palatino Linotype" w:hAnsi="Palatino Linotype"/>
              <w:i/>
              <w:iCs/>
              <w:sz w:val="24"/>
              <w:szCs w:val="24"/>
            </w:rPr>
            <w:t>20</w:t>
          </w:r>
          <w:r w:rsidRPr="0048355C">
            <w:rPr>
              <w:rFonts w:ascii="Palatino Linotype" w:hAnsi="Palatino Linotype"/>
              <w:sz w:val="24"/>
              <w:szCs w:val="24"/>
            </w:rPr>
            <w:t>(1), 14-25.</w:t>
          </w:r>
        </w:p>
        <w:p w14:paraId="0C876C2C" w14:textId="77777777" w:rsidR="0048355C" w:rsidRPr="0078405D" w:rsidRDefault="0048355C" w:rsidP="0078405D">
          <w:pPr>
            <w:autoSpaceDE w:val="0"/>
            <w:autoSpaceDN w:val="0"/>
            <w:ind w:hanging="640"/>
            <w:jc w:val="both"/>
            <w:divId w:val="28916068"/>
            <w:rPr>
              <w:rFonts w:ascii="Palatino Linotype" w:hAnsi="Palatino Linotype" w:cs="Calibri"/>
              <w:color w:val="000000"/>
              <w:sz w:val="22"/>
            </w:rPr>
          </w:pPr>
        </w:p>
        <w:p w14:paraId="3BDBE643" w14:textId="3774F826" w:rsidR="00C53DC2" w:rsidRPr="0078405D" w:rsidRDefault="0078405D" w:rsidP="0078405D">
          <w:pPr>
            <w:spacing w:line="276" w:lineRule="auto"/>
            <w:ind w:left="709" w:hanging="360"/>
            <w:jc w:val="both"/>
            <w:rPr>
              <w:rFonts w:ascii="Palatino Linotype" w:hAnsi="Palatino Linotype"/>
              <w:color w:val="000000"/>
            </w:rPr>
          </w:pPr>
          <w:r w:rsidRPr="0078405D">
            <w:rPr>
              <w:rFonts w:ascii="Palatino Linotype" w:hAnsi="Palatino Linotype" w:cs="Calibri"/>
              <w:color w:val="000000"/>
              <w:sz w:val="22"/>
            </w:rPr>
            <w:t> </w:t>
          </w:r>
        </w:p>
      </w:sdtContent>
    </w:sdt>
    <w:p w14:paraId="161BB1A4" w14:textId="77777777" w:rsidR="004B5F1B" w:rsidRPr="0078405D" w:rsidRDefault="004B5F1B" w:rsidP="0078405D">
      <w:pPr>
        <w:jc w:val="both"/>
        <w:rPr>
          <w:rFonts w:ascii="Palatino Linotype" w:hAnsi="Palatino Linotype"/>
        </w:rPr>
      </w:pPr>
    </w:p>
    <w:sectPr w:rsidR="004B5F1B" w:rsidRPr="0078405D" w:rsidSect="004B5F1B">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9B36F" w14:textId="77777777" w:rsidR="002A4006" w:rsidRDefault="002A4006" w:rsidP="00EE27B7">
      <w:r>
        <w:separator/>
      </w:r>
    </w:p>
  </w:endnote>
  <w:endnote w:type="continuationSeparator" w:id="0">
    <w:p w14:paraId="306408E2" w14:textId="77777777" w:rsidR="002A4006" w:rsidRDefault="002A4006" w:rsidP="00EE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76A21" w14:textId="77777777" w:rsidR="002A4006" w:rsidRDefault="002A4006" w:rsidP="00EE27B7">
      <w:r>
        <w:separator/>
      </w:r>
    </w:p>
  </w:footnote>
  <w:footnote w:type="continuationSeparator" w:id="0">
    <w:p w14:paraId="16B82F5C" w14:textId="77777777" w:rsidR="002A4006" w:rsidRDefault="002A4006" w:rsidP="00EE2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8933F" w14:textId="77777777" w:rsidR="00EE27B7" w:rsidRDefault="00C76BBB" w:rsidP="004B5F1B">
    <w:pPr>
      <w:pStyle w:val="Header"/>
      <w:jc w:val="center"/>
    </w:pPr>
    <w:r>
      <w:rPr>
        <w:noProof/>
      </w:rPr>
      <w:drawing>
        <wp:inline distT="0" distB="0" distL="0" distR="0" wp14:anchorId="2358D991" wp14:editId="229F4BB2">
          <wp:extent cx="5727700" cy="1089891"/>
          <wp:effectExtent l="0" t="0" r="0" b="2540"/>
          <wp:docPr id="170491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13979" name="Picture 1704913979"/>
                  <pic:cNvPicPr/>
                </pic:nvPicPr>
                <pic:blipFill>
                  <a:blip r:embed="rId1">
                    <a:extLst>
                      <a:ext uri="{28A0092B-C50C-407E-A947-70E740481C1C}">
                        <a14:useLocalDpi xmlns:a14="http://schemas.microsoft.com/office/drawing/2010/main" val="0"/>
                      </a:ext>
                    </a:extLst>
                  </a:blip>
                  <a:stretch>
                    <a:fillRect/>
                  </a:stretch>
                </pic:blipFill>
                <pic:spPr>
                  <a:xfrm>
                    <a:off x="0" y="0"/>
                    <a:ext cx="5766524" cy="1097279"/>
                  </a:xfrm>
                  <a:prstGeom prst="rect">
                    <a:avLst/>
                  </a:prstGeom>
                </pic:spPr>
              </pic:pic>
            </a:graphicData>
          </a:graphic>
        </wp:inline>
      </w:drawing>
    </w:r>
  </w:p>
  <w:p w14:paraId="0AB5D64B" w14:textId="77777777" w:rsidR="004B5F1B" w:rsidRDefault="004B5F1B" w:rsidP="004B5F1B">
    <w:pPr>
      <w:pStyle w:val="Header"/>
      <w:jc w:val="center"/>
      <w:rPr>
        <w:rFonts w:ascii="Palatino Linotype" w:hAnsi="Palatino Linotype"/>
        <w:sz w:val="21"/>
        <w:szCs w:val="21"/>
      </w:rPr>
    </w:pPr>
    <w:r w:rsidRPr="004B5F1B">
      <w:rPr>
        <w:rFonts w:ascii="Palatino Linotype" w:hAnsi="Palatino Linotype"/>
        <w:sz w:val="21"/>
        <w:szCs w:val="21"/>
      </w:rPr>
      <w:t xml:space="preserve">Vol. 01 /No. 01 /November 2026 | </w:t>
    </w:r>
    <w:hyperlink r:id="rId2" w:history="1">
      <w:r w:rsidR="000E743A" w:rsidRPr="005B4534">
        <w:rPr>
          <w:rStyle w:val="Hyperlink"/>
          <w:rFonts w:ascii="Palatino Linotype" w:hAnsi="Palatino Linotype"/>
          <w:sz w:val="21"/>
          <w:szCs w:val="21"/>
        </w:rPr>
        <w:t>https://jurnal.haizumsaintek.com/index.php/sundano/index</w:t>
      </w:r>
    </w:hyperlink>
  </w:p>
  <w:p w14:paraId="7CEABF34" w14:textId="77777777" w:rsidR="000E743A" w:rsidRPr="004B5F1B" w:rsidRDefault="000E743A" w:rsidP="004B5F1B">
    <w:pPr>
      <w:pStyle w:val="Header"/>
      <w:jc w:val="center"/>
      <w:rPr>
        <w:rFonts w:ascii="Palatino Linotype" w:hAnsi="Palatino Linotype"/>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D4F"/>
    <w:multiLevelType w:val="hybridMultilevel"/>
    <w:tmpl w:val="D8EA31FA"/>
    <w:lvl w:ilvl="0" w:tplc="82C2C9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580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7B7"/>
    <w:rsid w:val="000C5028"/>
    <w:rsid w:val="000E743A"/>
    <w:rsid w:val="001322C0"/>
    <w:rsid w:val="0016580A"/>
    <w:rsid w:val="00166BF3"/>
    <w:rsid w:val="00183236"/>
    <w:rsid w:val="00247284"/>
    <w:rsid w:val="00251FF4"/>
    <w:rsid w:val="002A4006"/>
    <w:rsid w:val="003A0934"/>
    <w:rsid w:val="0048355C"/>
    <w:rsid w:val="004B5F1B"/>
    <w:rsid w:val="004F2190"/>
    <w:rsid w:val="00770197"/>
    <w:rsid w:val="0078405D"/>
    <w:rsid w:val="009309E1"/>
    <w:rsid w:val="009D05B3"/>
    <w:rsid w:val="00C53DC2"/>
    <w:rsid w:val="00C74E47"/>
    <w:rsid w:val="00C76BBB"/>
    <w:rsid w:val="00C923D4"/>
    <w:rsid w:val="00CA05EB"/>
    <w:rsid w:val="00DC29CD"/>
    <w:rsid w:val="00E51039"/>
    <w:rsid w:val="00E942C4"/>
    <w:rsid w:val="00EE27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83909"/>
  <w15:chartTrackingRefBased/>
  <w15:docId w15:val="{A8E2132F-2DCB-FF4B-BD86-6400D78E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F1B"/>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7B7"/>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EE27B7"/>
  </w:style>
  <w:style w:type="paragraph" w:styleId="Footer">
    <w:name w:val="footer"/>
    <w:basedOn w:val="Normal"/>
    <w:link w:val="FooterChar"/>
    <w:uiPriority w:val="99"/>
    <w:unhideWhenUsed/>
    <w:rsid w:val="00EE27B7"/>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EE27B7"/>
  </w:style>
  <w:style w:type="character" w:styleId="Hyperlink">
    <w:name w:val="Hyperlink"/>
    <w:basedOn w:val="DefaultParagraphFont"/>
    <w:uiPriority w:val="99"/>
    <w:unhideWhenUsed/>
    <w:rsid w:val="000E743A"/>
    <w:rPr>
      <w:color w:val="0563C1" w:themeColor="hyperlink"/>
      <w:u w:val="single"/>
    </w:rPr>
  </w:style>
  <w:style w:type="character" w:styleId="UnresolvedMention">
    <w:name w:val="Unresolved Mention"/>
    <w:basedOn w:val="DefaultParagraphFont"/>
    <w:uiPriority w:val="99"/>
    <w:semiHidden/>
    <w:unhideWhenUsed/>
    <w:rsid w:val="000E743A"/>
    <w:rPr>
      <w:color w:val="605E5C"/>
      <w:shd w:val="clear" w:color="auto" w:fill="E1DFDD"/>
    </w:rPr>
  </w:style>
  <w:style w:type="table" w:styleId="TableGrid">
    <w:name w:val="Table Grid"/>
    <w:basedOn w:val="TableNormal"/>
    <w:uiPriority w:val="39"/>
    <w:rsid w:val="00C53D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405D"/>
    <w:rPr>
      <w:color w:val="666666"/>
    </w:rPr>
  </w:style>
  <w:style w:type="paragraph" w:styleId="ListParagraph">
    <w:name w:val="List Paragraph"/>
    <w:basedOn w:val="Normal"/>
    <w:uiPriority w:val="34"/>
    <w:qFormat/>
    <w:rsid w:val="004835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16068">
      <w:marLeft w:val="640"/>
      <w:marRight w:val="0"/>
      <w:marTop w:val="0"/>
      <w:marBottom w:val="0"/>
      <w:divBdr>
        <w:top w:val="none" w:sz="0" w:space="0" w:color="auto"/>
        <w:left w:val="none" w:sz="0" w:space="0" w:color="auto"/>
        <w:bottom w:val="none" w:sz="0" w:space="0" w:color="auto"/>
        <w:right w:val="none" w:sz="0" w:space="0" w:color="auto"/>
      </w:divBdr>
    </w:div>
    <w:div w:id="202981588">
      <w:marLeft w:val="640"/>
      <w:marRight w:val="0"/>
      <w:marTop w:val="0"/>
      <w:marBottom w:val="0"/>
      <w:divBdr>
        <w:top w:val="none" w:sz="0" w:space="0" w:color="auto"/>
        <w:left w:val="none" w:sz="0" w:space="0" w:color="auto"/>
        <w:bottom w:val="none" w:sz="0" w:space="0" w:color="auto"/>
        <w:right w:val="none" w:sz="0" w:space="0" w:color="auto"/>
      </w:divBdr>
    </w:div>
    <w:div w:id="471943173">
      <w:marLeft w:val="640"/>
      <w:marRight w:val="0"/>
      <w:marTop w:val="0"/>
      <w:marBottom w:val="0"/>
      <w:divBdr>
        <w:top w:val="none" w:sz="0" w:space="0" w:color="auto"/>
        <w:left w:val="none" w:sz="0" w:space="0" w:color="auto"/>
        <w:bottom w:val="none" w:sz="0" w:space="0" w:color="auto"/>
        <w:right w:val="none" w:sz="0" w:space="0" w:color="auto"/>
      </w:divBdr>
    </w:div>
    <w:div w:id="520821642">
      <w:marLeft w:val="640"/>
      <w:marRight w:val="0"/>
      <w:marTop w:val="0"/>
      <w:marBottom w:val="0"/>
      <w:divBdr>
        <w:top w:val="none" w:sz="0" w:space="0" w:color="auto"/>
        <w:left w:val="none" w:sz="0" w:space="0" w:color="auto"/>
        <w:bottom w:val="none" w:sz="0" w:space="0" w:color="auto"/>
        <w:right w:val="none" w:sz="0" w:space="0" w:color="auto"/>
      </w:divBdr>
    </w:div>
    <w:div w:id="558630604">
      <w:marLeft w:val="640"/>
      <w:marRight w:val="0"/>
      <w:marTop w:val="0"/>
      <w:marBottom w:val="0"/>
      <w:divBdr>
        <w:top w:val="none" w:sz="0" w:space="0" w:color="auto"/>
        <w:left w:val="none" w:sz="0" w:space="0" w:color="auto"/>
        <w:bottom w:val="none" w:sz="0" w:space="0" w:color="auto"/>
        <w:right w:val="none" w:sz="0" w:space="0" w:color="auto"/>
      </w:divBdr>
    </w:div>
    <w:div w:id="577439848">
      <w:marLeft w:val="640"/>
      <w:marRight w:val="0"/>
      <w:marTop w:val="0"/>
      <w:marBottom w:val="0"/>
      <w:divBdr>
        <w:top w:val="none" w:sz="0" w:space="0" w:color="auto"/>
        <w:left w:val="none" w:sz="0" w:space="0" w:color="auto"/>
        <w:bottom w:val="none" w:sz="0" w:space="0" w:color="auto"/>
        <w:right w:val="none" w:sz="0" w:space="0" w:color="auto"/>
      </w:divBdr>
    </w:div>
    <w:div w:id="835924354">
      <w:marLeft w:val="640"/>
      <w:marRight w:val="0"/>
      <w:marTop w:val="0"/>
      <w:marBottom w:val="0"/>
      <w:divBdr>
        <w:top w:val="none" w:sz="0" w:space="0" w:color="auto"/>
        <w:left w:val="none" w:sz="0" w:space="0" w:color="auto"/>
        <w:bottom w:val="none" w:sz="0" w:space="0" w:color="auto"/>
        <w:right w:val="none" w:sz="0" w:space="0" w:color="auto"/>
      </w:divBdr>
    </w:div>
    <w:div w:id="872501034">
      <w:marLeft w:val="640"/>
      <w:marRight w:val="0"/>
      <w:marTop w:val="0"/>
      <w:marBottom w:val="0"/>
      <w:divBdr>
        <w:top w:val="none" w:sz="0" w:space="0" w:color="auto"/>
        <w:left w:val="none" w:sz="0" w:space="0" w:color="auto"/>
        <w:bottom w:val="none" w:sz="0" w:space="0" w:color="auto"/>
        <w:right w:val="none" w:sz="0" w:space="0" w:color="auto"/>
      </w:divBdr>
    </w:div>
    <w:div w:id="883058966">
      <w:marLeft w:val="640"/>
      <w:marRight w:val="0"/>
      <w:marTop w:val="0"/>
      <w:marBottom w:val="0"/>
      <w:divBdr>
        <w:top w:val="none" w:sz="0" w:space="0" w:color="auto"/>
        <w:left w:val="none" w:sz="0" w:space="0" w:color="auto"/>
        <w:bottom w:val="none" w:sz="0" w:space="0" w:color="auto"/>
        <w:right w:val="none" w:sz="0" w:space="0" w:color="auto"/>
      </w:divBdr>
    </w:div>
    <w:div w:id="926158172">
      <w:marLeft w:val="640"/>
      <w:marRight w:val="0"/>
      <w:marTop w:val="0"/>
      <w:marBottom w:val="0"/>
      <w:divBdr>
        <w:top w:val="none" w:sz="0" w:space="0" w:color="auto"/>
        <w:left w:val="none" w:sz="0" w:space="0" w:color="auto"/>
        <w:bottom w:val="none" w:sz="0" w:space="0" w:color="auto"/>
        <w:right w:val="none" w:sz="0" w:space="0" w:color="auto"/>
      </w:divBdr>
    </w:div>
    <w:div w:id="962998235">
      <w:marLeft w:val="640"/>
      <w:marRight w:val="0"/>
      <w:marTop w:val="0"/>
      <w:marBottom w:val="0"/>
      <w:divBdr>
        <w:top w:val="none" w:sz="0" w:space="0" w:color="auto"/>
        <w:left w:val="none" w:sz="0" w:space="0" w:color="auto"/>
        <w:bottom w:val="none" w:sz="0" w:space="0" w:color="auto"/>
        <w:right w:val="none" w:sz="0" w:space="0" w:color="auto"/>
      </w:divBdr>
    </w:div>
    <w:div w:id="1004630042">
      <w:marLeft w:val="640"/>
      <w:marRight w:val="0"/>
      <w:marTop w:val="0"/>
      <w:marBottom w:val="0"/>
      <w:divBdr>
        <w:top w:val="none" w:sz="0" w:space="0" w:color="auto"/>
        <w:left w:val="none" w:sz="0" w:space="0" w:color="auto"/>
        <w:bottom w:val="none" w:sz="0" w:space="0" w:color="auto"/>
        <w:right w:val="none" w:sz="0" w:space="0" w:color="auto"/>
      </w:divBdr>
    </w:div>
    <w:div w:id="1013459761">
      <w:marLeft w:val="640"/>
      <w:marRight w:val="0"/>
      <w:marTop w:val="0"/>
      <w:marBottom w:val="0"/>
      <w:divBdr>
        <w:top w:val="none" w:sz="0" w:space="0" w:color="auto"/>
        <w:left w:val="none" w:sz="0" w:space="0" w:color="auto"/>
        <w:bottom w:val="none" w:sz="0" w:space="0" w:color="auto"/>
        <w:right w:val="none" w:sz="0" w:space="0" w:color="auto"/>
      </w:divBdr>
    </w:div>
    <w:div w:id="1102797049">
      <w:marLeft w:val="640"/>
      <w:marRight w:val="0"/>
      <w:marTop w:val="0"/>
      <w:marBottom w:val="0"/>
      <w:divBdr>
        <w:top w:val="none" w:sz="0" w:space="0" w:color="auto"/>
        <w:left w:val="none" w:sz="0" w:space="0" w:color="auto"/>
        <w:bottom w:val="none" w:sz="0" w:space="0" w:color="auto"/>
        <w:right w:val="none" w:sz="0" w:space="0" w:color="auto"/>
      </w:divBdr>
    </w:div>
    <w:div w:id="1118527114">
      <w:marLeft w:val="640"/>
      <w:marRight w:val="0"/>
      <w:marTop w:val="0"/>
      <w:marBottom w:val="0"/>
      <w:divBdr>
        <w:top w:val="none" w:sz="0" w:space="0" w:color="auto"/>
        <w:left w:val="none" w:sz="0" w:space="0" w:color="auto"/>
        <w:bottom w:val="none" w:sz="0" w:space="0" w:color="auto"/>
        <w:right w:val="none" w:sz="0" w:space="0" w:color="auto"/>
      </w:divBdr>
    </w:div>
    <w:div w:id="1159494073">
      <w:marLeft w:val="640"/>
      <w:marRight w:val="0"/>
      <w:marTop w:val="0"/>
      <w:marBottom w:val="0"/>
      <w:divBdr>
        <w:top w:val="none" w:sz="0" w:space="0" w:color="auto"/>
        <w:left w:val="none" w:sz="0" w:space="0" w:color="auto"/>
        <w:bottom w:val="none" w:sz="0" w:space="0" w:color="auto"/>
        <w:right w:val="none" w:sz="0" w:space="0" w:color="auto"/>
      </w:divBdr>
    </w:div>
    <w:div w:id="1607350698">
      <w:marLeft w:val="640"/>
      <w:marRight w:val="0"/>
      <w:marTop w:val="0"/>
      <w:marBottom w:val="0"/>
      <w:divBdr>
        <w:top w:val="none" w:sz="0" w:space="0" w:color="auto"/>
        <w:left w:val="none" w:sz="0" w:space="0" w:color="auto"/>
        <w:bottom w:val="none" w:sz="0" w:space="0" w:color="auto"/>
        <w:right w:val="none" w:sz="0" w:space="0" w:color="auto"/>
      </w:divBdr>
    </w:div>
    <w:div w:id="1737892380">
      <w:marLeft w:val="640"/>
      <w:marRight w:val="0"/>
      <w:marTop w:val="0"/>
      <w:marBottom w:val="0"/>
      <w:divBdr>
        <w:top w:val="none" w:sz="0" w:space="0" w:color="auto"/>
        <w:left w:val="none" w:sz="0" w:space="0" w:color="auto"/>
        <w:bottom w:val="none" w:sz="0" w:space="0" w:color="auto"/>
        <w:right w:val="none" w:sz="0" w:space="0" w:color="auto"/>
      </w:divBdr>
    </w:div>
    <w:div w:id="1787655552">
      <w:marLeft w:val="640"/>
      <w:marRight w:val="0"/>
      <w:marTop w:val="0"/>
      <w:marBottom w:val="0"/>
      <w:divBdr>
        <w:top w:val="none" w:sz="0" w:space="0" w:color="auto"/>
        <w:left w:val="none" w:sz="0" w:space="0" w:color="auto"/>
        <w:bottom w:val="none" w:sz="0" w:space="0" w:color="auto"/>
        <w:right w:val="none" w:sz="0" w:space="0" w:color="auto"/>
      </w:divBdr>
    </w:div>
    <w:div w:id="1819151214">
      <w:marLeft w:val="640"/>
      <w:marRight w:val="0"/>
      <w:marTop w:val="0"/>
      <w:marBottom w:val="0"/>
      <w:divBdr>
        <w:top w:val="none" w:sz="0" w:space="0" w:color="auto"/>
        <w:left w:val="none" w:sz="0" w:space="0" w:color="auto"/>
        <w:bottom w:val="none" w:sz="0" w:space="0" w:color="auto"/>
        <w:right w:val="none" w:sz="0" w:space="0" w:color="auto"/>
      </w:divBdr>
    </w:div>
    <w:div w:id="1930232105">
      <w:marLeft w:val="640"/>
      <w:marRight w:val="0"/>
      <w:marTop w:val="0"/>
      <w:marBottom w:val="0"/>
      <w:divBdr>
        <w:top w:val="none" w:sz="0" w:space="0" w:color="auto"/>
        <w:left w:val="none" w:sz="0" w:space="0" w:color="auto"/>
        <w:bottom w:val="none" w:sz="0" w:space="0" w:color="auto"/>
        <w:right w:val="none" w:sz="0" w:space="0" w:color="auto"/>
      </w:divBdr>
    </w:div>
    <w:div w:id="2066876767">
      <w:marLeft w:val="640"/>
      <w:marRight w:val="0"/>
      <w:marTop w:val="0"/>
      <w:marBottom w:val="0"/>
      <w:divBdr>
        <w:top w:val="none" w:sz="0" w:space="0" w:color="auto"/>
        <w:left w:val="none" w:sz="0" w:space="0" w:color="auto"/>
        <w:bottom w:val="none" w:sz="0" w:space="0" w:color="auto"/>
        <w:right w:val="none" w:sz="0" w:space="0" w:color="auto"/>
      </w:divBdr>
    </w:div>
    <w:div w:id="2080977321">
      <w:marLeft w:val="640"/>
      <w:marRight w:val="0"/>
      <w:marTop w:val="0"/>
      <w:marBottom w:val="0"/>
      <w:divBdr>
        <w:top w:val="none" w:sz="0" w:space="0" w:color="auto"/>
        <w:left w:val="none" w:sz="0" w:space="0" w:color="auto"/>
        <w:bottom w:val="none" w:sz="0" w:space="0" w:color="auto"/>
        <w:right w:val="none" w:sz="0" w:space="0" w:color="auto"/>
      </w:divBdr>
    </w:div>
    <w:div w:id="2109960942">
      <w:marLeft w:val="640"/>
      <w:marRight w:val="0"/>
      <w:marTop w:val="0"/>
      <w:marBottom w:val="0"/>
      <w:divBdr>
        <w:top w:val="none" w:sz="0" w:space="0" w:color="auto"/>
        <w:left w:val="none" w:sz="0" w:space="0" w:color="auto"/>
        <w:bottom w:val="none" w:sz="0" w:space="0" w:color="auto"/>
        <w:right w:val="none" w:sz="0" w:space="0" w:color="auto"/>
      </w:divBdr>
    </w:div>
    <w:div w:id="214303825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lter.2008.11.0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haizumsaintek.com/index.php/sundano/index"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826F44498D433EBBDD93FCAA625A36"/>
        <w:category>
          <w:name w:val="General"/>
          <w:gallery w:val="placeholder"/>
        </w:category>
        <w:types>
          <w:type w:val="bbPlcHdr"/>
        </w:types>
        <w:behaviors>
          <w:behavior w:val="content"/>
        </w:behaviors>
        <w:guid w:val="{51FFA325-3A52-4404-AE8E-BBBF7E75F154}"/>
      </w:docPartPr>
      <w:docPartBody>
        <w:p w:rsidR="0066795F" w:rsidRDefault="000E443A" w:rsidP="000E443A">
          <w:pPr>
            <w:pStyle w:val="D3826F44498D433EBBDD93FCAA625A36"/>
          </w:pPr>
          <w:r w:rsidRPr="00F62C10">
            <w:rPr>
              <w:rStyle w:val="PlaceholderText"/>
            </w:rPr>
            <w:t>Klik atau ketuk di sini untuk memasukkan teks.</w:t>
          </w:r>
        </w:p>
      </w:docPartBody>
    </w:docPart>
    <w:docPart>
      <w:docPartPr>
        <w:name w:val="1E5D74CF7865481C81A8F7936916AB55"/>
        <w:category>
          <w:name w:val="General"/>
          <w:gallery w:val="placeholder"/>
        </w:category>
        <w:types>
          <w:type w:val="bbPlcHdr"/>
        </w:types>
        <w:behaviors>
          <w:behavior w:val="content"/>
        </w:behaviors>
        <w:guid w:val="{8B29910F-EE94-4B72-B46D-B6CB7156B758}"/>
      </w:docPartPr>
      <w:docPartBody>
        <w:p w:rsidR="0066795F" w:rsidRDefault="000E443A" w:rsidP="000E443A">
          <w:pPr>
            <w:pStyle w:val="1E5D74CF7865481C81A8F7936916AB55"/>
          </w:pPr>
          <w:r w:rsidRPr="00F62C10">
            <w:rPr>
              <w:rStyle w:val="PlaceholderText"/>
            </w:rPr>
            <w:t>Klik atau ketuk di sini untuk memasukkan teks.</w:t>
          </w:r>
        </w:p>
      </w:docPartBody>
    </w:docPart>
    <w:docPart>
      <w:docPartPr>
        <w:name w:val="45D05C8DEE8A441196DF97DCA6F75A80"/>
        <w:category>
          <w:name w:val="General"/>
          <w:gallery w:val="placeholder"/>
        </w:category>
        <w:types>
          <w:type w:val="bbPlcHdr"/>
        </w:types>
        <w:behaviors>
          <w:behavior w:val="content"/>
        </w:behaviors>
        <w:guid w:val="{DC1D3556-631C-4699-ACCB-4BDD4C4CC922}"/>
      </w:docPartPr>
      <w:docPartBody>
        <w:p w:rsidR="0066795F" w:rsidRDefault="000E443A" w:rsidP="000E443A">
          <w:pPr>
            <w:pStyle w:val="45D05C8DEE8A441196DF97DCA6F75A80"/>
          </w:pPr>
          <w:r w:rsidRPr="00F62C10">
            <w:rPr>
              <w:rStyle w:val="PlaceholderText"/>
            </w:rPr>
            <w:t>Klik atau ketuk di sini untuk memasukkan teks.</w:t>
          </w:r>
        </w:p>
      </w:docPartBody>
    </w:docPart>
    <w:docPart>
      <w:docPartPr>
        <w:name w:val="DA6AA9194352404988375BD13F242C62"/>
        <w:category>
          <w:name w:val="General"/>
          <w:gallery w:val="placeholder"/>
        </w:category>
        <w:types>
          <w:type w:val="bbPlcHdr"/>
        </w:types>
        <w:behaviors>
          <w:behavior w:val="content"/>
        </w:behaviors>
        <w:guid w:val="{68513FDE-4A21-43BA-855A-5C914B920C07}"/>
      </w:docPartPr>
      <w:docPartBody>
        <w:p w:rsidR="0066795F" w:rsidRDefault="000E443A" w:rsidP="000E443A">
          <w:pPr>
            <w:pStyle w:val="DA6AA9194352404988375BD13F242C62"/>
          </w:pPr>
          <w:r w:rsidRPr="00F62C10">
            <w:rPr>
              <w:rStyle w:val="PlaceholderText"/>
            </w:rPr>
            <w:t>Klik atau ketuk di sini untuk memasukkan teks.</w:t>
          </w:r>
        </w:p>
      </w:docPartBody>
    </w:docPart>
    <w:docPart>
      <w:docPartPr>
        <w:name w:val="B169470A4BF04A449B4D6F7D49B402B2"/>
        <w:category>
          <w:name w:val="General"/>
          <w:gallery w:val="placeholder"/>
        </w:category>
        <w:types>
          <w:type w:val="bbPlcHdr"/>
        </w:types>
        <w:behaviors>
          <w:behavior w:val="content"/>
        </w:behaviors>
        <w:guid w:val="{D7476937-2DE7-473F-8905-080C4639A16C}"/>
      </w:docPartPr>
      <w:docPartBody>
        <w:p w:rsidR="0066795F" w:rsidRDefault="000E443A" w:rsidP="000E443A">
          <w:pPr>
            <w:pStyle w:val="B169470A4BF04A449B4D6F7D49B402B2"/>
          </w:pPr>
          <w:r w:rsidRPr="00F62C10">
            <w:rPr>
              <w:rStyle w:val="PlaceholderText"/>
            </w:rPr>
            <w:t>Klik atau ketuk di sini untuk memasukkan teks.</w:t>
          </w:r>
        </w:p>
      </w:docPartBody>
    </w:docPart>
    <w:docPart>
      <w:docPartPr>
        <w:name w:val="E4042C62921A467C9F7C2EC023E72E7E"/>
        <w:category>
          <w:name w:val="General"/>
          <w:gallery w:val="placeholder"/>
        </w:category>
        <w:types>
          <w:type w:val="bbPlcHdr"/>
        </w:types>
        <w:behaviors>
          <w:behavior w:val="content"/>
        </w:behaviors>
        <w:guid w:val="{6EEA338F-772A-4057-AAA9-B4BA1DF7822D}"/>
      </w:docPartPr>
      <w:docPartBody>
        <w:p w:rsidR="0066795F" w:rsidRDefault="000E443A" w:rsidP="000E443A">
          <w:pPr>
            <w:pStyle w:val="E4042C62921A467C9F7C2EC023E72E7E"/>
          </w:pPr>
          <w:r w:rsidRPr="00F62C10">
            <w:rPr>
              <w:rStyle w:val="PlaceholderText"/>
            </w:rPr>
            <w:t>Klik atau ketuk di sini untuk memasukkan teks.</w:t>
          </w:r>
        </w:p>
      </w:docPartBody>
    </w:docPart>
    <w:docPart>
      <w:docPartPr>
        <w:name w:val="DefaultPlaceholder_-1854013440"/>
        <w:category>
          <w:name w:val="Umum"/>
          <w:gallery w:val="placeholder"/>
        </w:category>
        <w:types>
          <w:type w:val="bbPlcHdr"/>
        </w:types>
        <w:behaviors>
          <w:behavior w:val="content"/>
        </w:behaviors>
        <w:guid w:val="{C098BA96-D840-4817-8E1D-2A8524B581AF}"/>
      </w:docPartPr>
      <w:docPartBody>
        <w:p w:rsidR="001E545B" w:rsidRDefault="0066795F">
          <w:r w:rsidRPr="00AE0CC4">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3A"/>
    <w:rsid w:val="000E443A"/>
    <w:rsid w:val="001176FB"/>
    <w:rsid w:val="001E545B"/>
    <w:rsid w:val="00446781"/>
    <w:rsid w:val="00640AE0"/>
    <w:rsid w:val="0066795F"/>
    <w:rsid w:val="009D05B3"/>
    <w:rsid w:val="00E510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95F"/>
    <w:rPr>
      <w:color w:val="666666"/>
    </w:rPr>
  </w:style>
  <w:style w:type="paragraph" w:customStyle="1" w:styleId="D3826F44498D433EBBDD93FCAA625A36">
    <w:name w:val="D3826F44498D433EBBDD93FCAA625A36"/>
    <w:rsid w:val="000E443A"/>
  </w:style>
  <w:style w:type="paragraph" w:customStyle="1" w:styleId="1E5D74CF7865481C81A8F7936916AB55">
    <w:name w:val="1E5D74CF7865481C81A8F7936916AB55"/>
    <w:rsid w:val="000E443A"/>
  </w:style>
  <w:style w:type="paragraph" w:customStyle="1" w:styleId="45D05C8DEE8A441196DF97DCA6F75A80">
    <w:name w:val="45D05C8DEE8A441196DF97DCA6F75A80"/>
    <w:rsid w:val="000E443A"/>
  </w:style>
  <w:style w:type="paragraph" w:customStyle="1" w:styleId="DA6AA9194352404988375BD13F242C62">
    <w:name w:val="DA6AA9194352404988375BD13F242C62"/>
    <w:rsid w:val="000E443A"/>
  </w:style>
  <w:style w:type="paragraph" w:customStyle="1" w:styleId="B169470A4BF04A449B4D6F7D49B402B2">
    <w:name w:val="B169470A4BF04A449B4D6F7D49B402B2"/>
    <w:rsid w:val="000E443A"/>
  </w:style>
  <w:style w:type="paragraph" w:customStyle="1" w:styleId="E4042C62921A467C9F7C2EC023E72E7E">
    <w:name w:val="E4042C62921A467C9F7C2EC023E72E7E"/>
    <w:rsid w:val="000E44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9B90E2-EFF0-4D54-8C25-247F06D2D4FB}">
  <we:reference id="wa104382081" version="1.55.1.0" store="id-ID" storeType="OMEX"/>
  <we:alternateReferences>
    <we:reference id="WA104382081" version="1.55.1.0" store="" storeType="OMEX"/>
  </we:alternateReferences>
  <we:properties>
    <we:property name="MENDELEY_BIBLIOGRAPHY_IS_DIRTY" value="false"/>
    <we:property name="MENDELEY_BIBLIOGRAPHY_LAST_MODIFIED" value="1786112352046"/>
    <we:property name="MENDELEY_CITATIONS" value="[{&quot;citationID&quot;:&quot;MENDELEY_CITATION_42f4bbe7-8fd2-4833-92bf-8e9f33c6071d&quot;,&quot;properties&quot;:{&quot;noteIndex&quot;:0},&quot;isEdited&quot;:false,&quot;manualOverride&quot;:{&quot;isManuallyOverridden&quot;:false,&quot;citeprocText&quot;:&quot;[1]&quot;,&quot;manualOverrideText&quot;:&quot;&quot;},&quot;citationTag&quot;:&quot;MENDELEY_CITATION_v3_eyJjaXRhdGlvbklEIjoiTUVOREVMRVlfQ0lUQVRJT05fNDJmNGJiZTctOGZkMi00ODMzLTkyYmYtOGU5ZjMzYzYwNzFk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quot;,&quot;citationItems&quot;:[{&quot;id&quot;:&quot;dd441948-3dec-3ee9-98e1-f9b1dbfc3937&quot;,&quot;itemData&quot;:{&quot;type&quot;:&quot;report&quot;,&quot;id&quot;:&quot;dd441948-3dec-3ee9-98e1-f9b1dbfc3937&quot;,&quot;title&quot;:&quot;PISA 2022 Results Factsheets Indonesia PUBE&quot;,&quot;author&quot;:[{&quot;family&quot;:&quot;OECD&quot;,&quot;given&quot;:&quot;&quot;,&quot;parse-names&quot;:false,&quot;dropping-particle&quot;:&quot;&quot;,&quot;non-dropping-particle&quot;:&quot;&quot;}],&quot;URL&quot;:&quot;https://oecdch.art/a40de1dbaf/C108.&quot;,&quot;issued&quot;:{&quot;date-parts&quot;:[[2023]]},&quot;container-title-short&quot;:&quot;&quot;},&quot;isTemporary&quot;:false}]},{&quot;citationID&quot;:&quot;MENDELEY_CITATION_e435dd20-37c8-4c83-97d3-2c15ae361574&quot;,&quot;properties&quot;:{&quot;noteIndex&quot;:0},&quot;isEdited&quot;:false,&quot;manualOverride&quot;:{&quot;isManuallyOverridden&quot;:false,&quot;citeprocText&quot;:&quot;[1]&quot;,&quot;manualOverrideText&quot;:&quot;&quot;},&quot;citationTag&quot;:&quot;MENDELEY_CITATION_v3_eyJjaXRhdGlvbklEIjoiTUVOREVMRVlfQ0lUQVRJT05fZTQzNWRkMjAtMzdjOC00YzgzLTk3ZDMtMmMxNWFlMzYxNTc0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quot;,&quot;citationItems&quot;:[{&quot;id&quot;:&quot;dd441948-3dec-3ee9-98e1-f9b1dbfc3937&quot;,&quot;itemData&quot;:{&quot;type&quot;:&quot;report&quot;,&quot;id&quot;:&quot;dd441948-3dec-3ee9-98e1-f9b1dbfc3937&quot;,&quot;title&quot;:&quot;PISA 2022 Results Factsheets Indonesia PUBE&quot;,&quot;author&quot;:[{&quot;family&quot;:&quot;OECD&quot;,&quot;given&quot;:&quot;&quot;,&quot;parse-names&quot;:false,&quot;dropping-particle&quot;:&quot;&quot;,&quot;non-dropping-particle&quot;:&quot;&quot;}],&quot;URL&quot;:&quot;https://oecdch.art/a40de1dbaf/C108.&quot;,&quot;issued&quot;:{&quot;date-parts&quot;:[[2023]]},&quot;container-title-short&quot;:&quot;&quot;},&quot;isTemporary&quot;:false}]},{&quot;citationID&quot;:&quot;MENDELEY_CITATION_a416234d-1877-4e8c-b32a-072ab12c9373&quot;,&quot;properties&quot;:{&quot;noteIndex&quot;:0},&quot;isEdited&quot;:false,&quot;manualOverride&quot;:{&quot;isManuallyOverridden&quot;:false,&quot;citeprocText&quot;:&quot;[1]&quot;,&quot;manualOverrideText&quot;:&quot;&quot;},&quot;citationTag&quot;:&quot;MENDELEY_CITATION_v3_eyJjaXRhdGlvbklEIjoiTUVOREVMRVlfQ0lUQVRJT05fYTQxNjIzNGQtMTg3Ny00ZThjLWIzMmEtMDcyYWIxMmM5Mzcz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quot;,&quot;citationItems&quot;:[{&quot;id&quot;:&quot;dd441948-3dec-3ee9-98e1-f9b1dbfc3937&quot;,&quot;itemData&quot;:{&quot;type&quot;:&quot;report&quot;,&quot;id&quot;:&quot;dd441948-3dec-3ee9-98e1-f9b1dbfc3937&quot;,&quot;title&quot;:&quot;PISA 2022 Results Factsheets Indonesia PUBE&quot;,&quot;author&quot;:[{&quot;family&quot;:&quot;OECD&quot;,&quot;given&quot;:&quot;&quot;,&quot;parse-names&quot;:false,&quot;dropping-particle&quot;:&quot;&quot;,&quot;non-dropping-particle&quot;:&quot;&quot;}],&quot;URL&quot;:&quot;https://oecdch.art/a40de1dbaf/C108.&quot;,&quot;issued&quot;:{&quot;date-parts&quot;:[[2023]]},&quot;container-title-short&quot;:&quot;&quot;},&quot;isTemporary&quot;:false}]},{&quot;citationID&quot;:&quot;MENDELEY_CITATION_681cb334-18f9-4207-ae08-456d01d86b31&quot;,&quot;properties&quot;:{&quot;noteIndex&quot;:0},&quot;isEdited&quot;:false,&quot;manualOverride&quot;:{&quot;isManuallyOverridden&quot;:false,&quot;citeprocText&quot;:&quot;[2]&quot;,&quot;manualOverrideText&quot;:&quot;&quot;},&quot;citationTag&quot;:&quot;MENDELEY_CITATION_v3_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&quot;,&quot;citationItems&quot;:[{&quot;id&quot;:&quot;c3ef1027-9b06-3124-af59-cb2619a549b9&quot;,&quot;itemData&quot;:{&quot;type&quot;:&quot;article-journal&quot;,&quot;id&quot;:&quot;c3ef1027-9b06-3124-af59-cb2619a549b9&quot;,&quot;title&quot;:&quot;An�lisis de los conceptos asociados a la correlaci�n y regresi�n en los textos de bachillerato&quot;,&quot;author&quot;:[{&quot;family&quot;:&quot;Batanero&quot;,&quot;given&quot;:&quot;Carmen&quot;,&quot;parse-names&quot;:false,&quot;dropping-particle&quot;:&quot;&quot;,&quot;non-dropping-particle&quot;:&quot;&quot;},{&quot;family&quot;:&quot;Gea&quot;,&quot;given&quot;:&quot;M Magdalena&quot;,&quot;parse-names&quot;:false,&quot;dropping-particle&quot;:&quot;&quot;,&quot;non-dropping-particle&quot;:&quot;&quot;},{&quot;family&quot;:&quot;Lopez-Martin&quot;,&quot;given&quot;:&quot;Ma del Mar&quot;,&quot;parse-names&quot;:false,&quot;dropping-particle&quot;:&quot;&quot;,&quot;non-dropping-particle&quot;:&quot;&quot;},{&quot;family&quot;:&quot;Artega&quot;,&quot;given&quot;:&quot;Pedro&quot;,&quot;parse-names&quot;:false,&quot;dropping-particle&quot;:&quot;&quot;,&quot;non-dropping-particle&quot;:&quot;&quot;}],&quot;container-title&quot;:&quot;Didacticae&quot;,&quot;DOI&quot;:&quot;10.1344/did.2017.1.60-76&quot;,&quot;ISSN&quot;:&quot;24622737&quot;,&quot;issued&quot;:{&quot;date-parts&quot;:[[2017]]},&quot;issue&quot;:&quot;1&quot;,&quot;container-title-short&quot;:&quot;&quot;},&quot;isTemporary&quot;:false}]},{&quot;citationID&quot;:&quot;MENDELEY_CITATION_a24d8a0e-ca8f-4b7b-bc2d-ce118c3629c8&quot;,&quot;properties&quot;:{&quot;noteIndex&quot;:0},&quot;isEdited&quot;:false,&quot;manualOverride&quot;:{&quot;isManuallyOverridden&quot;:false,&quot;citeprocText&quot;:&quot;[3]&quot;,&quot;manualOverrideText&quot;:&quot;&quot;},&quot;citationTag&quot;:&quot;MENDELEY_CITATION_v3_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&quot;,&quot;citationItems&quot;:[{&quot;id&quot;:&quot;a8c7938f-0d8b-3577-8264-c9e3bc061caf&quot;,&quot;itemData&quot;:{&quot;type&quot;:&quot;article-journal&quot;,&quot;id&quot;:&quot;a8c7938f-0d8b-3577-8264-c9e3bc061caf&quot;,&quot;title&quot;:&quot;Developing Students’ Intuition on the Impact of Correlated Outcomes&quot;,&quot;author&quot;:[{&quot;family&quot;:&quot;Petersen&quot;,&quot;given&quot;:&quot;Ashley&quot;,&quot;parse-names&quot;:false,&quot;dropping-particle&quot;:&quot;&quot;,&quot;non-dropping-particle&quot;:&quot;&quot;}],&quot;container-title&quot;:&quot;Journal of Statistics and Data Science Education&quot;,&quot;DOI&quot;:&quot;10.1080/26939169.2022.2074584&quot;,&quot;ISSN&quot;:&quot;2693-9169&quot;,&quot;issued&quot;:{&quot;date-parts&quot;:[[2022,5,4]]},&quot;page&quot;:&quot;154-164&quot;,&quot;issue&quot;:&quot;2&quot;,&quot;volume&quot;:&quot;30&quot;,&quot;container-title-short&quot;:&quot;&quot;},&quot;isTemporary&quot;:false}]},{&quot;citationID&quot;:&quot;MENDELEY_CITATION_87a81f23-0734-4f32-b2c2-5bbb334e4201&quot;,&quot;properties&quot;:{&quot;noteIndex&quot;:0},&quot;isEdited&quot;:false,&quot;manualOverride&quot;:{&quot;isManuallyOverridden&quot;:false,&quot;citeprocText&quot;:&quot;[4]&quot;,&quot;manualOverrideText&quot;:&quot;&quot;},&quot;citationTag&quot;:&quot;MENDELEY_CITATION_v3_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&quot;,&quot;citationItems&quot;:[{&quot;id&quot;:&quot;025d5127-73e1-3cbb-8a6a-cf50fa19249a&quot;,&quot;itemData&quot;:{&quot;type&quot;:&quot;article-journal&quot;,&quot;id&quot;:&quot;025d5127-73e1-3cbb-8a6a-cf50fa19249a&quot;,&quot;title&quot;:&quot;Ethnomathematics-Based Contextual Learning to Improve Students’ Mathematical Reasoning Ability&quot;,&quot;author&quot;:[{&quot;family&quot;:&quot;Suharto&quot;,&quot;given&quot;:&quot;Nuraimah&quot;,&quot;parse-names&quot;:false,&quot;dropping-particle&quot;:&quot;&quot;,&quot;non-dropping-particle&quot;:&quot;&quot;},{&quot;family&quot;:&quot;Sukmawati&quot;,&quot;given&quot;:&quot;Sukmawati&quot;,&quot;parse-names&quot;:false,&quot;dropping-particle&quot;:&quot;&quot;,&quot;non-dropping-particle&quot;:&quot;&quot;},{&quot;family&quot;:&quot;Assaibin&quot;,&quot;given&quot;:&quot;Muhammad&quot;,&quot;parse-names&quot;:false,&quot;dropping-particle&quot;:&quot;&quot;,&quot;non-dropping-particle&quot;:&quot;&quot;}],&quot;container-title&quot;:&quot;Kognitif: Jurnal Riset HOTS Pendidikan Matematika&quot;,&quot;DOI&quot;:&quot;10.51574/kognitif.v6i2.5005&quot;,&quot;ISSN&quot;:&quot;2776-9704&quot;,&quot;issued&quot;:{&quot;date-parts&quot;:[[2026,5,15]]},&quot;page&quot;:&quot;552-564&quot;,&quot;abstract&quot;:&quot;&lt;p&gt;Mathematical reasoning is a key component of mathematics learning because it enables students to develop logical, critical, and systematic thinking. However, students’ reasoning ability often remains underdeveloped when instruction focuses mainly on procedures and provides limited opportunities to connect mathematical concepts with real-life contexts. This study examined the improvement of students’ mathematical reasoning ability through ethnomathematics-based contextual learning. A quantitative pre-experimental design with a one-group pretest-posttest model was employed. The participants were fifth-grade students at SDN 002 Campalagian in the 2025/2026 academic year. Data were collected using an essay-based mathematical reasoning test and an observation sheet of students’ learning activities. The data were analyzed using descriptive statistics, N-Gain analysis, and a paired-sample t-test. The findings showed that students’ mathematical reasoning ability improved after the implementation of ethnomathematics-based contextual learning. The N-Gain results indicated a moderate to high level of improvement, and the paired-sample t-test showed a statistically significant difference between the pretest and posttest scores. Observation data also indicated that students were actively engaged during the learning process. These findings suggest that ethnomathematics-based contextual learning can support the development of students’ mathematical reasoning ability by linking mathematical ideas to meaningful cultural and real-life contexts. This approach can be considered an alternative instructional strategy for promoting more meaningful mathematics learning in elementary classrooms.&lt;/p&gt;&quot;,&quot;issue&quot;:&quot;2&quot;,&quot;volume&quot;:&quot;6&quot;,&quot;container-title-short&quot;:&quot;&quot;},&quot;isTemporary&quot;:false}]},{&quot;citationID&quot;:&quot;MENDELEY_CITATION_764f4bc9-1957-4834-a60f-a40e27db5345&quot;,&quot;properties&quot;:{&quot;noteIndex&quot;:0},&quot;isEdited&quot;:false,&quot;manualOverride&quot;:{&quot;isManuallyOverridden&quot;:false,&quot;citeprocText&quot;:&quot;[5]&quot;,&quot;manualOverrideText&quot;:&quot;&quot;},&quot;citationTag&quot;:&quot;MENDELEY_CITATION_v3_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&quot;,&quot;citationItems&quot;:[{&quot;id&quot;:&quot;e15d4d8e-e0af-317d-aa70-ea984eba0230&quot;,&quot;itemData&quot;:{&quot;type&quot;:&quot;article-journal&quot;,&quot;id&quot;:&quot;e15d4d8e-e0af-317d-aa70-ea984eba0230&quot;,&quot;title&quot;:&quot;Students’ beliefs and attitudes towards cooperative learning, and their relationship to motivation and approach to learning&quot;,&quot;author&quot;:[{&quot;family&quot;:&quot;Bächtold&quot;,&quot;given&quot;:&quot;Manuel&quot;,&quot;parse-names&quot;:false,&quot;dropping-particle&quot;:&quot;&quot;,&quot;non-dropping-particle&quot;:&quot;&quot;},{&quot;family&quot;:&quot;Roca&quot;,&quot;given&quot;:&quot;Pascale&quot;,&quot;parse-names&quot;:false,&quot;dropping-particle&quot;:&quot;&quot;,&quot;non-dropping-particle&quot;:&quot;&quot;},{&quot;family&quot;:&quot;Checchi&quot;,&quot;given&quot;:&quot;Kévin&quot;,&quot;parse-names&quot;:false,&quot;dropping-particle&quot;:&quot;&quot;,&quot;non-dropping-particle&quot;:&quot;De&quot;}],&quot;container-title&quot;:&quot;Studies in Higher Education&quot;,&quot;DOI&quot;:&quot;10.1080/03075079.2022.2112028&quot;,&quot;ISSN&quot;:&quot;0307-5079&quot;,&quot;issued&quot;:{&quot;date-parts&quot;:[[2023,1,2]]},&quot;page&quot;:&quot;100-112&quot;,&quot;issue&quot;:&quot;1&quot;,&quot;volume&quot;:&quot;48&quot;,&quot;container-title-short&quot;:&quot;&quot;},&quot;isTemporary&quot;:false}]},{&quot;citationID&quot;:&quot;MENDELEY_CITATION_1afc9d1d-8bb1-4445-840f-d8211c062424&quot;,&quot;properties&quot;:{&quot;noteIndex&quot;:0},&quot;isEdited&quot;:false,&quot;manualOverride&quot;:{&quot;isManuallyOverridden&quot;:false,&quot;citeprocText&quot;:&quot;[6]&quot;,&quot;manualOverrideText&quot;:&quot;&quot;},&quot;citationTag&quot;:&quot;MENDELEY_CITATION_v3_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&quot;,&quot;citationItems&quot;:[{&quot;id&quot;:&quot;2a57f158-9632-38c5-983e-ed5c6fe8889a&quot;,&quot;itemData&quot;:{&quot;type&quot;:&quot;article-journal&quot;,&quot;id&quot;:&quot;2a57f158-9632-38c5-983e-ed5c6fe8889a&quot;,&quot;title&quot;:&quot;Why does peer instruction benefit student learning?&quot;,&quot;author&quot;:[{&quot;family&quot;:&quot;Tullis&quot;,&quot;given&quot;:&quot;Jonathan G.&quot;,&quot;parse-names&quot;:false,&quot;dropping-particle&quot;:&quot;&quot;,&quot;non-dropping-particle&quot;:&quot;&quot;},{&quot;family&quot;:&quot;Goldstone&quot;,&quot;given&quot;:&quot;Robert L.&quot;,&quot;parse-names&quot;:false,&quot;dropping-particle&quot;:&quot;&quot;,&quot;non-dropping-particle&quot;:&quot;&quot;}],&quot;container-title&quot;:&quot;Cognitive Research: Principles and Implications&quot;,&quot;container-title-short&quot;:&quot;Cogn. Res. Princ. Implic.&quot;,&quot;DOI&quot;:&quot;10.1186/s41235-020-00218-5&quot;,&quot;ISSN&quot;:&quot;2365-7464&quot;,&quot;issued&quot;:{&quot;date-parts&quot;:[[2020,12,9]]},&quot;page&quot;:&quot;15&quot;,&quot;abstract&quot;:&quot;&lt;p&gt;In peer instruction, instructors pose a challenging question to students, students answer the question individually, students work with a partner in the class to discuss their answers, and finally students answer the question again. A large body of evidence shows that peer instruction benefits student learning. To determine the mechanism for these benefits, we collected semester-long data from six classes, involving a total of 208 undergraduate students being asked a total of 86 different questions related to their course content. For each question, students chose their answer individually, reported their confidence, discussed their answers with their partner, and then indicated their possibly revised answer and confidence again. Overall, students were more accurate and confident after discussion than before. Initially correct students were more likely to keep their answers than initially incorrect students, and this tendency was partially but not completely attributable to differences in confidence. We discuss the benefits of peer instruction in terms of differences in the coherence of explanations, social learning, and the contextual factors that influence confidence and accuracy.&lt;/p&gt;&quot;,&quot;issue&quot;:&quot;1&quot;,&quot;volume&quot;:&quot;5&quot;},&quot;isTemporary&quot;:false}]},{&quot;citationID&quot;:&quot;MENDELEY_CITATION_155dff95-969a-4c3a-80af-6c444bbde914&quot;,&quot;properties&quot;:{&quot;noteIndex&quot;:0},&quot;isEdited&quot;:false,&quot;manualOverride&quot;:{&quot;isManuallyOverridden&quot;:false,&quot;citeprocText&quot;:&quot;[7]&quot;,&quot;manualOverrideText&quot;:&quot;&quot;},&quot;citationTag&quot;:&quot;MENDELEY_CITATION_v3_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&quot;,&quot;citationItems&quot;:[{&quot;id&quot;:&quot;f56f75c4-719a-3c91-9489-731d11afbf27&quot;,&quot;itemData&quot;:{&quot;type&quot;:&quot;article-journal&quot;,&quot;id&quot;:&quot;f56f75c4-719a-3c91-9489-731d11afbf27&quot;,&quot;title&quot;:&quot;Guiding the use of collective feedback displayed on heatmaps to reduce group conformity and improve learning in Peer Instruction&quot;,&quot;author&quot;:[{&quot;family&quot;:&quot;Michinov&quot;,&quot;given&quot;:&quot;Nicolas&quot;,&quot;parse-names&quot;:false,&quot;dropping-particle&quot;:&quot;&quot;,&quot;non-dropping-particle&quot;:&quot;&quot;},{&quot;family&quot;:&quot;Anquetil&quot;,&quot;given&quot;:&quot;Éric&quot;,&quot;parse-names&quot;:false,&quot;dropping-particle&quot;:&quot;&quot;,&quot;non-dropping-particle&quot;:&quot;&quot;},{&quot;family&quot;:&quot;Michinov&quot;,&quot;given&quot;:&quot;Estelle&quot;,&quot;parse-names&quot;:false,&quot;dropping-particle&quot;:&quot;&quot;,&quot;non-dropping-particle&quot;:&quot;&quot;}],&quot;container-title&quot;:&quot;Journal of Computer Assisted Learning&quot;,&quot;container-title-short&quot;:&quot;J. Comput. Assist. Learn.&quot;,&quot;DOI&quot;:&quot;10.1111/jcal.12457&quot;,&quot;ISSN&quot;:&quot;0266-4909&quot;,&quot;issued&quot;:{&quot;date-parts&quot;:[[2020,12,19]]},&quot;page&quot;:&quot;1026-1037&quot;,&quot;abstract&quot;:&quot;&lt;p&gt;Peer Instruction is an active learning method widely used in higher education, whereby students answer a series of questions twice, once before and once after peer discussion. There is an ongoing debate as to whether a collective feedback should be given after the students' initial answer, and if so, how the frequently observed group conformity can be avoided. This study examined whether guiding on the use of this feedback can reduce group conformity and improve learning using an interactive learning environment to administer a new type of quiz using graphics, and delivering collective feedback to the whole class in a novel heatmap format. In the experimental group, the teacher told the students that the answer indicated by the heatmap was not necessarily the correct one; this information was not given to students in the control group. Results revealed that guided students were less likely to adopt the (incorrect) majority answer than the non‐guided students, and consequently, they were more likely to improve their learning by reaching an agreement about the correct answer through discussion with their peers. These findings suggest that guiding students in their use of collective feedback may have a crucial role in Peer Instruction.&lt;/p&gt;&quot;,&quot;issue&quot;:&quot;6&quot;,&quot;volume&quot;:&quot;36&quot;},&quot;isTemporary&quot;:false}]},{&quot;citationID&quot;:&quot;MENDELEY_CITATION_7bf2839c-b03c-4ebf-922c-0d31e4a3ea77&quot;,&quot;properties&quot;:{&quot;noteIndex&quot;:0},&quot;isEdited&quot;:false,&quot;manualOverride&quot;:{&quot;isManuallyOverridden&quot;:false,&quot;citeprocText&quot;:&quot;[8]&quot;,&quot;manualOverrideText&quot;:&quot;&quot;},&quot;citationTag&quot;:&quot;MENDELEY_CITATION_v3_eyJjaXRhdGlvbklEIjoiTUVOREVMRVlfQ0lUQVRJT05fN2JmMjgzOWMtYjAzYy00ZWJmLTkyMmMtMGQzMWU0YTNlYTc3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quot;,&quot;citationItems&quot;:[{&quot;id&quot;:&quot;e9a9ce9f-7c0c-318b-8e2d-bfcd23c6fa65&quot;,&quot;itemData&quot;:{&quot;type&quot;:&quot;article-journal&quot;,&quot;id&quot;:&quot;e9a9ce9f-7c0c-318b-8e2d-bfcd23c6fa65&quot;,&quot;title&quot;:&quot;Think and pair before share: Effects of collaboration on students' in-class participation&quot;,&quot;author&quot;:[{&quot;family&quot;:&quot;Mundelsee&quot;,&quot;given&quot;:&quot;Lukas&quot;,&quot;parse-names&quot;:false,&quot;dropping-particle&quot;:&quot;&quot;,&quot;non-dropping-particle&quot;:&quot;&quot;},{&quot;family&quot;:&quot;Jurkowski&quot;,&quot;given&quot;:&quot;Susanne&quot;,&quot;parse-names&quot;:false,&quot;dropping-particle&quot;:&quot;&quot;,&quot;non-dropping-particle&quot;:&quot;&quot;}],&quot;container-title&quot;:&quot;Learning and Individual Differences&quot;,&quot;container-title-short&quot;:&quot;Learn. Individ. Differ.&quot;,&quot;DOI&quot;:&quot;10.1016/j.lindif.2021.102015&quot;,&quot;ISSN&quot;:&quot;10416080&quot;,&quot;issued&quot;:{&quot;date-parts&quot;:[[2021,5]]},&quot;page&quot;:&quot;102015&quot;,&quot;volume&quot;:&quot;88&quot;},&quot;isTemporary&quot;:false}]},{&quot;citationID&quot;:&quot;MENDELEY_CITATION_383a6018-932a-4de3-a275-b87882101c6a&quot;,&quot;properties&quot;:{&quot;noteIndex&quot;:0},&quot;isEdited&quot;:false,&quot;manualOverride&quot;:{&quot;isManuallyOverridden&quot;:false,&quot;citeprocText&quot;:&quot;[8]&quot;,&quot;manualOverrideText&quot;:&quot;&quot;},&quot;citationTag&quot;:&quot;MENDELEY_CITATION_v3_eyJjaXRhdGlvbklEIjoiTUVOREVMRVlfQ0lUQVRJT05fMzgzYTYwMTgtOTMyYS00ZGUzLWEyNzUtYjg3ODgyMTAxYzZh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quot;,&quot;citationItems&quot;:[{&quot;id&quot;:&quot;e9a9ce9f-7c0c-318b-8e2d-bfcd23c6fa65&quot;,&quot;itemData&quot;:{&quot;type&quot;:&quot;article-journal&quot;,&quot;id&quot;:&quot;e9a9ce9f-7c0c-318b-8e2d-bfcd23c6fa65&quot;,&quot;title&quot;:&quot;Think and pair before share: Effects of collaboration on students' in-class participation&quot;,&quot;author&quot;:[{&quot;family&quot;:&quot;Mundelsee&quot;,&quot;given&quot;:&quot;Lukas&quot;,&quot;parse-names&quot;:false,&quot;dropping-particle&quot;:&quot;&quot;,&quot;non-dropping-particle&quot;:&quot;&quot;},{&quot;family&quot;:&quot;Jurkowski&quot;,&quot;given&quot;:&quot;Susanne&quot;,&quot;parse-names&quot;:false,&quot;dropping-particle&quot;:&quot;&quot;,&quot;non-dropping-particle&quot;:&quot;&quot;}],&quot;container-title&quot;:&quot;Learning and Individual Differences&quot;,&quot;container-title-short&quot;:&quot;Learn. Individ. Differ.&quot;,&quot;DOI&quot;:&quot;10.1016/j.lindif.2021.102015&quot;,&quot;ISSN&quot;:&quot;10416080&quot;,&quot;issued&quot;:{&quot;date-parts&quot;:[[2021,5]]},&quot;page&quot;:&quot;102015&quot;,&quot;volume&quot;:&quot;88&quot;},&quot;isTemporary&quot;:false}]},{&quot;citationID&quot;:&quot;MENDELEY_CITATION_0184ca2e-a679-4bb9-b611-86c063548a1e&quot;,&quot;properties&quot;:{&quot;noteIndex&quot;:0},&quot;isEdited&quot;:false,&quot;manualOverride&quot;:{&quot;isManuallyOverridden&quot;:false,&quot;citeprocText&quot;:&quot;[9]&quot;,&quot;manualOverrideText&quot;:&quot;&quot;},&quot;citationTag&quot;:&quot;MENDELEY_CITATION_v3_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&quot;,&quot;citationItems&quot;:[{&quot;id&quot;:&quot;868a840c-f781-3385-9d52-55433640bcb6&quot;,&quot;itemData&quot;:{&quot;type&quot;:&quot;article-journal&quot;,&quot;id&quot;:&quot;868a840c-f781-3385-9d52-55433640bcb6&quot;,&quot;title&quot;:&quot;The Effect of Think Pair Share Learning Model to Improve Studentâ€™s Problem-Solving Ability&quot;,&quot;author&quot;:[{&quot;family&quot;:&quot;Marhaeni&quot;,&quot;given&quot;:&quot;Nafida Hetty&quot;,&quot;parse-names&quot;:false,&quot;dropping-particle&quot;:&quot;&quot;,&quot;non-dropping-particle&quot;:&quot;&quot;},{&quot;family&quot;:&quot;Ramos&quot;,&quot;given&quot;:&quot;Sarah Vega&quot;,&quot;parse-names&quot;:false,&quot;dropping-particle&quot;:&quot;&quot;,&quot;non-dropping-particle&quot;:&quot;&quot;},{&quot;family&quot;:&quot;Triyadi&quot;,&quot;given&quot;:&quot;Totok&quot;,&quot;parse-names&quot;:false,&quot;dropping-particle&quot;:&quot;&quot;,&quot;non-dropping-particle&quot;:&quot;&quot;},{&quot;family&quot;:&quot;Sudarmaji&quot;,&quot;given&quot;:&quot;Bayu&quot;,&quot;parse-names&quot;:false,&quot;dropping-particle&quot;:&quot;&quot;,&quot;non-dropping-particle&quot;:&quot;&quot;}],&quot;container-title&quot;:&quot;Jurnal Mercumatika : Jurnal Penelitian Matematika dan Pendidikan Matematika&quot;,&quot;DOI&quot;:&quot;10.26486/jm.v6i2.3032&quot;,&quot;ISSN&quot;:&quot;2548-1819&quot;,&quot;issued&quot;:{&quot;date-parts&quot;:[[2022,11,3]]},&quot;abstract&quot;:&quot;&lt;p&gt;Problem solving skills are useful for training students to face increasingly complex problems. Learning models that have not been able to stimulate these abilities need to be applied. Thus, the purpose of this study was to determine the effect of the Think Pair Share learning model to improve students' problem solving abilities. This type of research is experimental research with pretest posttest control group design. The samples in this study were class VIIIA students as the experimental class and class VIIIC students as the control class, each class totaling 32 students. Data collection techniques used interviews, observations, and problem-solving ability test questions on the Pythagorean theorem material. The results showed that the application of the Think Pair Share learning model has been proven to be effective in improving students' problem solving abilities. Based on the results of the increase in students' problem-solving ability tests, the experimental class was higher than the control class (32.5 &amp;gt; 21.88). In addition, the application of the Think Pair Share learning model gives students more time to think deeply about what is being explained or experienced (thinking, answering, and helping each other). In addition, the TPS learning model also provides opportunities for students to think deeply and can help each other.&lt;/p&gt;&quot;,&quot;issue&quot;:&quot;2&quot;,&quot;volume&quot;:&quot;6&quot;,&quot;container-title-short&quot;:&quot;&quot;},&quot;isTemporary&quot;:false}]},{&quot;citationID&quot;:&quot;MENDELEY_CITATION_463f0cd4-1195-45df-9d9d-9579217e079a&quot;,&quot;properties&quot;:{&quot;noteIndex&quot;:0},&quot;isEdited&quot;:false,&quot;manualOverride&quot;:{&quot;isManuallyOverridden&quot;:false,&quot;citeprocText&quot;:&quot;[10]&quot;,&quot;manualOverrideText&quot;:&quot;&quot;},&quot;citationTag&quot;:&quot;MENDELEY_CITATION_v3_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&quot;,&quot;citationItems&quot;:[{&quot;id&quot;:&quot;4490dc1b-3842-3bb4-8d2e-35203d8544b5&quot;,&quot;itemData&quot;:{&quot;type&quot;:&quot;article-journal&quot;,&quot;id&quot;:&quot;4490dc1b-3842-3bb4-8d2e-35203d8544b5&quot;,&quot;title&quot;:&quot;Unconscious bias in the HRM literature: Towards a critical-reflexive approach&quot;,&quot;author&quot;:[{&quot;family&quot;:&quot;Storm&quot;,&quot;given&quot;:&quot;Kai Inga Liehr&quot;,&quot;parse-names&quot;:false,&quot;dropping-particle&quot;:&quot;&quot;,&quot;non-dropping-particle&quot;:&quot;&quot;},{&quot;family&quot;:&quot;Reiss&quot;,&quot;given&quot;:&quot;Lea Katharina&quot;,&quot;parse-names&quot;:false,&quot;dropping-particle&quot;:&quot;&quot;,&quot;non-dropping-particle&quot;:&quot;&quot;},{&quot;family&quot;:&quot;Guenther&quot;,&quot;given&quot;:&quot;Elisabeth Anna&quot;,&quot;parse-names&quot;:false,&quot;dropping-particle&quot;:&quot;&quot;,&quot;non-dropping-particle&quot;:&quot;&quot;},{&quot;family&quot;:&quot;Clar-Novak&quot;,&quot;given&quot;:&quot;Maria&quot;,&quot;parse-names&quot;:false,&quot;dropping-particle&quot;:&quot;&quot;,&quot;non-dropping-particle&quot;:&quot;&quot;},{&quot;family&quot;:&quot;Muhr&quot;,&quot;given&quot;:&quot;Sara Louise&quot;,&quot;parse-names&quot;:false,&quot;dropping-particle&quot;:&quot;&quot;,&quot;non-dropping-particle&quot;:&quot;&quot;}],&quot;container-title&quot;:&quot;Human Resource Management Review&quot;,&quot;DOI&quot;:&quot;https://doi.org/10.1016/j.hrmr.2023.100969&quot;,&quot;ISSN&quot;:&quot;1053-4822&quot;,&quot;URL&quot;:&quot;https://www.sciencedirect.com/science/article/pii/S1053482223000207&quot;,&quot;issued&quot;:{&quot;date-parts&quot;:[[2023]]},&quot;page&quot;:&quot;100969&quot;,&quot;abstract&quot;:&quot;This article presents a systematic review of the human resource management (HRM) literature to document how the term “unconscious bias” is defined, theorized, and operationalized in a sample of 518 articles in the field. The review identifies four main thematic streams in which unconscious bias is commonly discussed: (1) the biased individual; (2) bias as binary; (3) bias in moments of decisions; and (4) bias as a fixable issue. Based on this thematic mapping of the literature, a critical-reflexive approach is outlined to shed light on and challenge taken-for-granted assumptions, interrogate how arguments are brought forth and open up new avenues for future research. This article contributes to the existing HRM literature in three ways. First, it shows patterns in existing theory, making explicit the inconsistencies and tacit assumptions in the ways in which unconscious bias is theorized in HRM research. Second, it presents a critical-reflexive approach to researching unconscious bias. Third, based on this approach, it suggests avenues for future research on how to move beyond these inconsistencies and assumptions.&quot;,&quot;issue&quot;:&quot;3&quot;,&quot;volume&quot;:&quot;33&quot;,&quot;container-title-short&quot;:&quot;&quot;},&quot;isTemporary&quot;:false}]},{&quot;citationID&quot;:&quot;MENDELEY_CITATION_fa991ca4-bf68-40cc-8f4e-303bce4bb36b&quot;,&quot;properties&quot;:{&quot;noteIndex&quot;:0},&quot;isEdited&quot;:false,&quot;manualOverride&quot;:{&quot;isManuallyOverridden&quot;:false,&quot;citeprocText&quot;:&quot;[2]&quot;,&quot;manualOverrideText&quot;:&quot;&quot;},&quot;citationTag&quot;:&quot;MENDELEY_CITATION_v3_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&quot;,&quot;citationItems&quot;:[{&quot;id&quot;:&quot;c3ef1027-9b06-3124-af59-cb2619a549b9&quot;,&quot;itemData&quot;:{&quot;type&quot;:&quot;article-journal&quot;,&quot;id&quot;:&quot;c3ef1027-9b06-3124-af59-cb2619a549b9&quot;,&quot;title&quot;:&quot;An�lisis de los conceptos asociados a la correlaci�n y regresi�n en los textos de bachillerato&quot;,&quot;author&quot;:[{&quot;family&quot;:&quot;Batanero&quot;,&quot;given&quot;:&quot;Carmen&quot;,&quot;parse-names&quot;:false,&quot;dropping-particle&quot;:&quot;&quot;,&quot;non-dropping-particle&quot;:&quot;&quot;},{&quot;family&quot;:&quot;Gea&quot;,&quot;given&quot;:&quot;M Magdalena&quot;,&quot;parse-names&quot;:false,&quot;dropping-particle&quot;:&quot;&quot;,&quot;non-dropping-particle&quot;:&quot;&quot;},{&quot;family&quot;:&quot;Lopez-Martin&quot;,&quot;given&quot;:&quot;Ma del Mar&quot;,&quot;parse-names&quot;:false,&quot;dropping-particle&quot;:&quot;&quot;,&quot;non-dropping-particle&quot;:&quot;&quot;},{&quot;family&quot;:&quot;Artega&quot;,&quot;given&quot;:&quot;Pedro&quot;,&quot;parse-names&quot;:false,&quot;dropping-particle&quot;:&quot;&quot;,&quot;non-dropping-particle&quot;:&quot;&quot;}],&quot;container-title&quot;:&quot;Didacticae&quot;,&quot;DOI&quot;:&quot;10.1344/did.2017.1.60-76&quot;,&quot;ISSN&quot;:&quot;24622737&quot;,&quot;issued&quot;:{&quot;date-parts&quot;:[[2017]]},&quot;issue&quot;:&quot;1&quot;,&quot;container-title-short&quot;:&quot;&quot;},&quot;isTemporary&quot;:false}]},{&quot;citationID&quot;:&quot;MENDELEY_CITATION_c06f22b6-287b-4bcb-8435-091ab476b6fa&quot;,&quot;properties&quot;:{&quot;noteIndex&quot;:0},&quot;isEdited&quot;:false,&quot;manualOverride&quot;:{&quot;isManuallyOverridden&quot;:false,&quot;citeprocText&quot;:&quot;[11]&quot;,&quot;manualOverrideText&quot;:&quot;&quot;},&quot;citationTag&quot;:&quot;MENDELEY_CITATION_v3_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&quot;,&quot;citationItems&quot;:[{&quot;id&quot;:&quot;915b530c-2e0e-3956-823b-081e53600b88&quot;,&quot;itemData&quot;:{&quot;type&quot;:&quot;article-journal&quot;,&quot;id&quot;:&quot;915b530c-2e0e-3956-823b-081e53600b88&quot;,&quot;title&quot;:&quot;Perbandingan Kemampuan Komunikasi Matematis Siswa antara Model Pembelajaran Kooperatif Tipe TPS dan CIRC&quot;,&quot;author&quot;:[{&quot;family&quot;:&quot;Khairunisa&quot;,&quot;given&quot;:&quot;Rahmi Wilianti&quot;,&quot;parse-names&quot;:false,&quot;dropping-particle&quot;:&quot;&quot;,&quot;non-dropping-particle&quot;:&quot;&quot;},{&quot;family&quot;:&quot;Basuki&quot;,&quot;given&quot;:&quot;&quot;,&quot;parse-names&quot;:false,&quot;dropping-particle&quot;:&quot;&quot;,&quot;non-dropping-particle&quot;:&quot;&quot;}],&quot;container-title&quot;:&quot;Plusminus: Jurnal Pendidikan Matematika&quot;,&quot;DOI&quot;:&quot;10.31980/plusminus.v1i1.881&quot;,&quot;ISSN&quot;:&quot;2798-2920&quot;,&quot;issued&quot;:{&quot;date-parts&quot;:[[2021,3,30]]},&quot;page&quot;:&quot;113-124&quot;,&quot;abstract&quot;:&quot;&lt;p&gt;Pembelajaran matematika yang diberikan di sekolah harus dapat menuntut siswa agar mereka memiliki kompetensi dasar dalam matematika sesuai dengan tujuan umum pembelajaran matematika. Penelitian menggunakan metode kuasi eksperimen dengan tujuan penelitiannya yaitu menelaah perbandingan kemampuan komunikasi matematis siswa yang mendapatkan model pembelajaran Think Pair Square (TPS) dengan Cooperative, Integrated, Reading and Composition (CIRC), untuk mengetahui kualitas peningkatan kemampuan komunikasi matematis, dan sikap siswa terhadap model pembelajaran TPS dan CIRC. Populasi pada penelitian ini adalah siswa kelas VII SMP Negeri 6 Garut dengan sampel sebanyak dua kelas yaitu kelas VII-H menggunakan model pembelajaran TPS dan VII-I menggunakan model pembelajaran CIRC. Pada penelitian ini diperoleh kesimpulan bahwa kemampuan komunikasi matematis siswa yang mendapatkan model pembelajaran TPS lebih baik dari pada siswa yang mendapatkan model pembelajaran CIRC. Kualitas peningkatan kemampuan komunikasi matematis siswa yang mendapatkan model pembelajaran TPS berinterpretasi baik, sedangkan siswa yang mendapatkan model pembelajaran CIRC berinterpretasi sedang.&amp;#13; Mathematics learning given in schools must be able to require students to have basic competencies in mathematics following the general objectives of learning mathematics. The study used a quasi-experimental method intending to research the comparison of students' mathematical communication skills who received the Think Pair Square (TPS) learning model with Cooperative, Integrated, Reading, and Composition (CIRC), to determine the quality of improving mathematical communication skills and student attitudes towards the model. TPS and CIRC learning. The population in this study were students of class VII SMP Negeri 6 Garut with a sample of two classes, namely class VII-H using the TPS learning model and VII-I using the CIRC learning model. In this study, it was concluded that the mathematical communication skills of students who received the TPS learning model were better than those who received the CIRC learning model. The quality of the improvement in mathematical communication skills of students who get the TPS learning model has good interpretations, while students who get the CIRC learning model have moderate interpretations.&lt;/p&gt;&quot;,&quot;issue&quot;:&quot;1&quot;,&quot;volume&quot;:&quot;1&quot;,&quot;container-title-short&quot;:&quot;&quot;},&quot;isTemporary&quot;:false}]},{&quot;citationID&quot;:&quot;MENDELEY_CITATION_75b28d13-2c6f-488c-90d0-88f3d9ce383f&quot;,&quot;properties&quot;:{&quot;noteIndex&quot;:0},&quot;isEdited&quot;:false,&quot;manualOverride&quot;:{&quot;isManuallyOverridden&quot;:false,&quot;citeprocText&quot;:&quot;[12]&quot;,&quot;manualOverrideText&quot;:&quot;&quot;},&quot;citationTag&quot;:&quot;MENDELEY_CITATION_v3_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&quot;,&quot;citationItems&quot;:[{&quot;id&quot;:&quot;588cc682-b491-3255-8912-d83ef09a2840&quot;,&quot;itemData&quot;:{&quot;type&quot;:&quot;article-journal&quot;,&quot;id&quot;:&quot;588cc682-b491-3255-8912-d83ef09a2840&quot;,&quot;title&quot;:&quot;Pengaruh Kemampuan Komunikasi Matematika Melalui Model Pembelajaran Think Pair Share (TPS)&quot;,&quot;author&quot;:[{&quot;family&quot;:&quot;Mernawati&quot;,&quot;given&quot;:&quot;Mernawati&quot;,&quot;parse-names&quot;:false,&quot;dropping-particle&quot;:&quot;&quot;,&quot;non-dropping-particle&quot;:&quot;&quot;},{&quot;family&quot;:&quot;Harahap&quot;,&quot;given&quot;:&quot;Yenni Novita&quot;,&quot;parse-names&quot;:false,&quot;dropping-particle&quot;:&quot;&quot;,&quot;non-dropping-particle&quot;:&quot;&quot;},{&quot;family&quot;:&quot;Susanti&quot;,&quot;given&quot;:&quot;Rika&quot;,&quot;parse-names&quot;:false,&quot;dropping-particle&quot;:&quot;&quot;,&quot;non-dropping-particle&quot;:&quot;&quot;}],&quot;container-title&quot;:&quot;FARABI: Jurnal Matematika dan Pendidikan Matematika&quot;,&quot;DOI&quot;:&quot;10.47662/farabi.v4i1.92&quot;,&quot;ISSN&quot;:&quot;2798-5474&quot;,&quot;issued&quot;:{&quot;date-parts&quot;:[[2021,6,22]]},&quot;page&quot;:&quot;74-79&quot;,&quot;abstract&quot;:&quot;&lt;p&gt;Penelitian ini dilakukan untuk melihat pengaruh dan peningkatan kemampuan komunikasi matematika siswa melalui model pembelajaran Think Pair Share (TPS). Penelitian dilakukan di pada siswa kelas VIII Sekolah SMP Setia Budi Abasi Perbaungan dengan sampel dua kelas yaitu VIII-A dan VIII-B. Yang menjadi variabel terikat adalah kemampuan komunikasi dan yang menjadi variabel bebas adalah model pembelajaran Think Pair Share. Penelitian ini menggunakan Uji Normalitas dan Uji Homogenitas sebagai uji prasyarat serta uji N-Gain untuk melihat pengaruh dan peningkatannya. Hasil analisis data dari penelitian ini menunjukan data yang diperoleh berbentuk normalitas dan homogen dan tingkat kemampuan komunikasi matematika melalui model pembelajaran Think Pair Share lebih tinggi 0.09% dibandingkan kelas yang menggunakan model Pembelajaran Konvensional. Dengan demikian model pembelajaran Think Pair Share dapat meningkatkan kemampuan komunikasi matematika siswa dengan katagori sangat tinggi yaitu 0,98 %.&lt;/p&gt;&quot;,&quot;issue&quot;:&quot;1&quot;,&quot;volume&quot;:&quot;4&quot;,&quot;container-title-short&quot;:&quot;&quot;},&quot;isTemporary&quot;:false}]},{&quot;citationID&quot;:&quot;MENDELEY_CITATION_86cd3a10-4340-4760-b895-c75b287bc353&quot;,&quot;properties&quot;:{&quot;noteIndex&quot;:0},&quot;isEdited&quot;:false,&quot;manualOverride&quot;:{&quot;isManuallyOverridden&quot;:false,&quot;citeprocText&quot;:&quot;[13]&quot;,&quot;manualOverrideText&quot;:&quot;&quot;},&quot;citationTag&quot;:&quot;MENDELEY_CITATION_v3_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&quot;,&quot;citationItems&quot;:[{&quot;id&quot;:&quot;d3891dc1-c8d3-325d-af21-60a55b65d328&quot;,&quot;itemData&quot;:{&quot;type&quot;:&quot;article-journal&quot;,&quot;id&quot;:&quot;d3891dc1-c8d3-325d-af21-60a55b65d328&quot;,&quot;title&quot;:&quot;PERBANDINGAN HASIL BELAJAR SISWA YANG DIAJARKAN DENGAN MODEL PEMBELAJARAN KOOPERATIF TIPE THINK PAIR SHARE (TPS) DAN MODEL PEMBELAJARAN KONVENSIONAL&quot;,&quot;author&quot;:[{&quot;family&quot;:&quot;Hommy&quot;,&quot;given&quot;:&quot;Yakop D&quot;,&quot;parse-names&quot;:false,&quot;dropping-particle&quot;:&quot;&quot;,&quot;non-dropping-particle&quot;:&quot;&quot;},{&quot;family&quot;:&quot;Ayal&quot;,&quot;given&quot;:&quot;Carolina S&quot;,&quot;parse-names&quot;:false,&quot;dropping-particle&quot;:&quot;&quot;,&quot;non-dropping-particle&quot;:&quot;&quot;},{&quot;family&quot;:&quot;Ngilawajan&quot;,&quot;given&quot;:&quot;Darma Andreas&quot;,&quot;parse-names&quot;:false,&quot;dropping-particle&quot;:&quot;&quot;,&quot;non-dropping-particle&quot;:&quot;&quot;}],&quot;container-title&quot;:&quot;Sora Journal of Mathematics Education&quot;,&quot;DOI&quot;:&quot;10.30598/sora.2.2.42-49&quot;,&quot;ISSN&quot;:&quot;2746-1602&quot;,&quot;issued&quot;:{&quot;date-parts&quot;:[[2021,10,22]]},&quot;page&quot;:&quot;42-49&quot;,&quot;abstract&quot;:&quot;&lt;p&gt;Penelitian ini bertujuan untuk membandingkan dua model pembelajaran untuk melihat perbedaan hasil belajar siswa kelas VII SMP Negeri 15 Ambon yang diajarkan dengan menggunakan model pembelajaran kooperatif Think Pair Share(TPS) dan model pembelajaran konvensional pada materi aritmetika sosial. Tipe penelitian yang digunakan adalah eksperimen (Experimental Research), dengan desain penelitian Posttest Only Control Group Design. Sampel dalam penelitian ini diambil dengan menggunakan teknik Purposive Sampling. Hasil penelitian menunjukkan ada perbedaan hasil belajar siswa yang diajarkan dengan model pembelajaran kooperatif Think Pair Share (TPS) dan model pembelajaran konvensional.&lt;/p&gt;&quot;,&quot;issue&quot;:&quot;2&quot;,&quot;volume&quot;:&quot;2&quot;,&quot;container-title-short&quot;:&quot;&quot;},&quot;isTemporary&quot;:false}]},{&quot;citationID&quot;:&quot;MENDELEY_CITATION_33368fc1-2add-4bee-acab-dd26372cc299&quot;,&quot;properties&quot;:{&quot;noteIndex&quot;:0},&quot;isEdited&quot;:false,&quot;manualOverride&quot;:{&quot;isManuallyOverridden&quot;:false,&quot;citeprocText&quot;:&quot;[1]&quot;,&quot;manualOverrideText&quot;:&quot;&quot;},&quot;citationTag&quot;:&quot;MENDELEY_CITATION_v3_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&quot;,&quot;citationItems&quot;:[{&quot;id&quot;:&quot;dd441948-3dec-3ee9-98e1-f9b1dbfc3937&quot;,&quot;itemData&quot;:{&quot;type&quot;:&quot;report&quot;,&quot;id&quot;:&quot;dd441948-3dec-3ee9-98e1-f9b1dbfc3937&quot;,&quot;title&quot;:&quot;PISA 2022 Results Factsheets Indonesia PUBE&quot;,&quot;author&quot;:[{&quot;family&quot;:&quot;OECD&quot;,&quot;given&quot;:&quot;&quot;,&quot;parse-names&quot;:false,&quot;dropping-particle&quot;:&quot;&quot;,&quot;non-dropping-particle&quot;:&quot;&quot;}],&quot;URL&quot;:&quot;https://oecdch.art/a40de1dbaf/C108.&quot;,&quot;issued&quot;:{&quot;date-parts&quot;:[[2023]]},&quot;container-title-short&quot;:&quot;&quot;},&quot;isTemporary&quot;:false}]},{&quot;citationID&quot;:&quot;MENDELEY_CITATION_7bf0d8b2-d61a-42a6-b3c9-37912c36c61e&quot;,&quot;properties&quot;:{&quot;noteIndex&quot;:0},&quot;isEdited&quot;:false,&quot;manualOverride&quot;:{&quot;isManuallyOverridden&quot;:true,&quot;citeprocText&quot;:&quot;[14]&quot;,&quot;manualOverrideText&quot;:&quot;([14]&quot;},&quot;citationTag&quot;:&quot;MENDELEY_CITATION_v3_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&quot;,&quot;citationItems&quot;:[{&quot;id&quot;:&quot;06a676b9-291c-3efe-8b65-8613b29f19ed&quot;,&quot;itemData&quot;:{&quot;type&quot;:&quot;chapter&quot;,&quot;id&quot;:&quot;06a676b9-291c-3efe-8b65-8613b29f19ed&quot;,&quot;title&quot;:&quot;Students’ Development of Measures&quot;,&quot;author&quot;:[{&quot;family&quot;:&quot;Büscher&quot;,&quot;given&quot;:&quot;Christian&quot;,&quot;parse-names&quot;:false,&quot;dropping-particle&quot;:&quot;&quot;,&quot;non-dropping-particle&quot;:&quot;&quot;}],&quot;DOI&quot;:&quot;10.1007/978-3-030-03472-6_2&quot;,&quot;issued&quot;:{&quot;date-parts&quot;:[[2019]]},&quot;page&quot;:&quot;27-50&quot;,&quot;container-title-short&quot;:&quot;&quot;},&quot;isTemporary&quot;:false}]},{&quot;citationID&quot;:&quot;MENDELEY_CITATION_57b5d3a4-c078-4067-978b-5183c1b39643&quot;,&quot;properties&quot;:{&quot;noteIndex&quot;:0},&quot;isEdited&quot;:false,&quot;manualOverride&quot;:{&quot;isManuallyOverridden&quot;:true,&quot;citeprocText&quot;:&quot;[15]&quot;,&quot;manualOverrideText&quot;:&quot;[15])&quot;},&quot;citationTag&quot;:&quot;MENDELEY_CITATION_v3_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&quot;,&quot;citationItems&quot;:[{&quot;id&quot;:&quot;e21ada3b-307e-3a97-a4e1-b252d7556970&quot;,&quot;itemData&quot;:{&quot;type&quot;:&quot;article-journal&quot;,&quot;id&quot;:&quot;e21ada3b-307e-3a97-a4e1-b252d7556970&quot;,&quot;title&quot;:&quot;School calculus curriculum and the Singapore mathematics curriculum framework&quot;,&quot;author&quot;:[{&quot;family&quot;:&quot;Toh&quot;,&quot;given&quot;:&quot;Tin Lam&quot;,&quot;parse-names&quot;:false,&quot;dropping-particle&quot;:&quot;&quot;,&quot;non-dropping-particle&quot;:&quot;&quot;}],&quot;container-title&quot;:&quot;ZDM – Mathematics Education&quot;,&quot;DOI&quot;:&quot;10.1007/s11858-021-01225-6&quot;,&quot;ISSN&quot;:&quot;1863-9690&quot;,&quot;issued&quot;:{&quot;date-parts&quot;:[[2021,6,8]]},&quot;page&quot;:&quot;535-547&quot;,&quot;issue&quot;:&quot;3&quot;,&quot;volume&quot;:&quot;53&quot;,&quot;container-title-short&quot;:&quot;&quot;},&quot;isTemporary&quot;:false}]},{&quot;citationID&quot;:&quot;MENDELEY_CITATION_93d77456-635d-41f9-8707-3e70d2a3ad60&quot;,&quot;properties&quot;:{&quot;noteIndex&quot;:0},&quot;isEdited&quot;:false,&quot;manualOverride&quot;:{&quot;isManuallyOverridden&quot;:false,&quot;citeprocText&quot;:&quot;[16]&quot;,&quot;manualOverrideText&quot;:&quot;&quot;},&quot;citationTag&quot;:&quot;MENDELEY_CITATION_v3_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&quot;,&quot;citationItems&quot;:[{&quot;id&quot;:&quot;2547196d-d811-3850-b8fc-e2cbd49a7658&quot;,&quot;itemData&quot;:{&quot;type&quot;:&quot;report&quot;,&quot;id&quot;:&quot;2547196d-d811-3850-b8fc-e2cbd49a7658&quot;,&quot;title&quot;:&quot;METODE PENELITIAN KKUANTITATIF KUALITATIF DAN R&amp;D&quot;,&quot;author&quot;:[{&quot;family&quot;:&quot;Sugiyono&quot;,&quot;given&quot;:&quot;&quot;,&quot;parse-names&quot;:false,&quot;dropping-particle&quot;:&quot;&quot;,&quot;non-dropping-particle&quot;:&quot;&quot;}],&quot;issued&quot;:{&quot;date-parts&quot;:[[2013]]},&quot;container-title-short&quot;:&quot;&quot;},&quot;isTemporary&quot;:false}]},{&quot;citationID&quot;:&quot;MENDELEY_CITATION_77c592fb-0aae-45f3-b622-8ab6eee69dfc&quot;,&quot;properties&quot;:{&quot;noteIndex&quot;:0},&quot;isEdited&quot;:false,&quot;manualOverride&quot;:{&quot;isManuallyOverridden&quot;:false,&quot;citeprocText&quot;:&quot;[17]&quot;,&quot;manualOverrideText&quot;:&quot;&quot;},&quot;citationTag&quot;:&quot;MENDELEY_CITATION_v3_eyJjaXRhdGlvbklEIjoiTUVOREVMRVlfQ0lUQVRJT05fNzdjNTkyZmItMGFhZS00NWYzLWI2MjItOGFiNmVlZTY5ZGZj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quot;,&quot;citationItems&quot;:[{&quot;id&quot;:&quot;1ee1a22a-bda2-3f55-bbf6-fde123a43f3b&quot;,&quot;itemData&quot;:{&quot;type&quot;:&quot;book&quot;,&quot;id&quot;:&quot;1ee1a22a-bda2-3f55-bbf6-fde123a43f3b&quot;,&quot;title&quot;:&quot;Educational research : planning, conducting, and evaluating quantitative and qualitative research&quot;,&quot;author&quot;:[{&quot;family&quot;:&quot;Creswell&quot;,&quot;given&quot;:&quot;John W..&quot;,&quot;parse-names&quot;:false,&quot;dropping-particle&quot;:&quot;&quot;,&quot;non-dropping-particle&quot;:&quot;&quot;}],&quot;ISBN&quot;:&quot;9780131367395&quot;,&quot;issued&quot;:{&quot;date-parts&quot;:[[2013]]},&quot;number-of-pages&quot;:&quot;650&quot;,&quot;abstract&quot;:&quot;Fourth Indian edition. \&quot;Original edition, entitled Educational Research-Planning, Conducting, and Evaluating Quantitative and Qualitative Research, 4th ed. by John W. Creswell, published by Pearson Education, Inc., publishing as Pearson Prentice Hall.\&quot;--Title page verso. \&quot;In this update of the 2008, 2005, and 2002 editions, Creswell (U. of Nebraska-Lincoln) provides clear coverage of all the phases of the main quantitative and qualitative approaches in educational research: from identifying a problem that defines the goal of research to reporting and evaluating research. A new feature on ethical dilemmas is part of the greater emphasis on ethical issues. The text includes useful tips for producers and consumers of research, new sample articles from journals, chapter study questions with an answer key, statistical appendices, additional resources, updated references, and access to an online study resource.\&quot;--Provided by publisher. Part I. An introduction to educational research -- chapter 1. The process of conducting research using quantitative and qualitative approaches -- Part II. The steps in the process of research -- chapter 2. Identifying a research problem -- chapter 3. Reviewing the literature -- chapter 4. Specifying a purpose and research questions or hypotheses -- chapter 5. Collecting quantitative data -- chapter 6. Analyzing and interpreting quantitative data -- chapter 7. Collecting qualitative data -- chapter 8. Analyzing and interpreting qualitative data -- chapter 9. Reporting and evaluating research -- Part III. Research designs -- chapter 10. Experimental designs -- chapter 11. Correlational designs -- chapter 12. Survey designs -- chapter 13. Grounded theory designs -- chapter 14. Ethnographic designs -- chapter 15. Narrative research designs -- chapter 16. Mixed methods designs -- chapter 17. Action research designs.&quot;,&quot;publisher&quot;:&quot;PHI Learning Private Limited&quot;,&quot;container-title-short&quot;:&quot;&quot;},&quot;isTemporary&quot;:false}]},{&quot;citationID&quot;:&quot;MENDELEY_CITATION_23bbbd30-61cb-4b98-84f5-8a4e114470dc&quot;,&quot;properties&quot;:{&quot;noteIndex&quot;:0},&quot;isEdited&quot;:false,&quot;manualOverride&quot;:{&quot;isManuallyOverridden&quot;:false,&quot;citeprocText&quot;:&quot;[17]&quot;,&quot;manualOverrideText&quot;:&quot;&quot;},&quot;citationTag&quot;:&quot;MENDELEY_CITATION_v3_eyJjaXRhdGlvbklEIjoiTUVOREVMRVlfQ0lUQVRJT05fMjNiYmJkMzAtNjFjYi00Yjk4LTg0ZjUtOGE0ZTExNDQ3MGRj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quot;,&quot;citationItems&quot;:[{&quot;id&quot;:&quot;1ee1a22a-bda2-3f55-bbf6-fde123a43f3b&quot;,&quot;itemData&quot;:{&quot;type&quot;:&quot;book&quot;,&quot;id&quot;:&quot;1ee1a22a-bda2-3f55-bbf6-fde123a43f3b&quot;,&quot;title&quot;:&quot;Educational research : planning, conducting, and evaluating quantitative and qualitative research&quot;,&quot;author&quot;:[{&quot;family&quot;:&quot;Creswell&quot;,&quot;given&quot;:&quot;John W..&quot;,&quot;parse-names&quot;:false,&quot;dropping-particle&quot;:&quot;&quot;,&quot;non-dropping-particle&quot;:&quot;&quot;}],&quot;ISBN&quot;:&quot;9780131367395&quot;,&quot;issued&quot;:{&quot;date-parts&quot;:[[2013]]},&quot;number-of-pages&quot;:&quot;650&quot;,&quot;abstract&quot;:&quot;Fourth Indian edition. \&quot;Original edition, entitled Educational Research-Planning, Conducting, and Evaluating Quantitative and Qualitative Research, 4th ed. by John W. Creswell, published by Pearson Education, Inc., publishing as Pearson Prentice Hall.\&quot;--Title page verso. \&quot;In this update of the 2008, 2005, and 2002 editions, Creswell (U. of Nebraska-Lincoln) provides clear coverage of all the phases of the main quantitative and qualitative approaches in educational research: from identifying a problem that defines the goal of research to reporting and evaluating research. A new feature on ethical dilemmas is part of the greater emphasis on ethical issues. The text includes useful tips for producers and consumers of research, new sample articles from journals, chapter study questions with an answer key, statistical appendices, additional resources, updated references, and access to an online study resource.\&quot;--Provided by publisher. Part I. An introduction to educational research -- chapter 1. The process of conducting research using quantitative and qualitative approaches -- Part II. The steps in the process of research -- chapter 2. Identifying a research problem -- chapter 3. Reviewing the literature -- chapter 4. Specifying a purpose and research questions or hypotheses -- chapter 5. Collecting quantitative data -- chapter 6. Analyzing and interpreting quantitative data -- chapter 7. Collecting qualitative data -- chapter 8. Analyzing and interpreting qualitative data -- chapter 9. Reporting and evaluating research -- Part III. Research designs -- chapter 10. Experimental designs -- chapter 11. Correlational designs -- chapter 12. Survey designs -- chapter 13. Grounded theory designs -- chapter 14. Ethnographic designs -- chapter 15. Narrative research designs -- chapter 16. Mixed methods designs -- chapter 17. Action research designs.&quot;,&quot;publisher&quot;:&quot;PHI Learning Private Limited&quot;,&quot;container-title-short&quot;:&quot;&quot;},&quot;isTemporary&quot;:false}]},{&quot;citationID&quot;:&quot;MENDELEY_CITATION_f8a25198-24c0-4b70-b991-1b1cbfdf0657&quot;,&quot;properties&quot;:{&quot;noteIndex&quot;:0},&quot;isEdited&quot;:false,&quot;manualOverride&quot;:{&quot;isManuallyOverridden&quot;:false,&quot;citeprocText&quot;:&quot;[17]&quot;,&quot;manualOverrideText&quot;:&quot;&quot;},&quot;citationTag&quot;:&quot;MENDELEY_CITATION_v3_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&quot;,&quot;citationItems&quot;:[{&quot;id&quot;:&quot;1ee1a22a-bda2-3f55-bbf6-fde123a43f3b&quot;,&quot;itemData&quot;:{&quot;type&quot;:&quot;book&quot;,&quot;id&quot;:&quot;1ee1a22a-bda2-3f55-bbf6-fde123a43f3b&quot;,&quot;title&quot;:&quot;Educational research : planning, conducting, and evaluating quantitative and qualitative research&quot;,&quot;author&quot;:[{&quot;family&quot;:&quot;Creswell&quot;,&quot;given&quot;:&quot;John W..&quot;,&quot;parse-names&quot;:false,&quot;dropping-particle&quot;:&quot;&quot;,&quot;non-dropping-particle&quot;:&quot;&quot;}],&quot;ISBN&quot;:&quot;9780131367395&quot;,&quot;issued&quot;:{&quot;date-parts&quot;:[[2013]]},&quot;number-of-pages&quot;:&quot;650&quot;,&quot;abstract&quot;:&quot;Fourth Indian edition. \&quot;Original edition, entitled Educational Research-Planning, Conducting, and Evaluating Quantitative and Qualitative Research, 4th ed. by John W. Creswell, published by Pearson Education, Inc., publishing as Pearson Prentice Hall.\&quot;--Title page verso. \&quot;In this update of the 2008, 2005, and 2002 editions, Creswell (U. of Nebraska-Lincoln) provides clear coverage of all the phases of the main quantitative and qualitative approaches in educational research: from identifying a problem that defines the goal of research to reporting and evaluating research. A new feature on ethical dilemmas is part of the greater emphasis on ethical issues. The text includes useful tips for producers and consumers of research, new sample articles from journals, chapter study questions with an answer key, statistical appendices, additional resources, updated references, and access to an online study resource.\&quot;--Provided by publisher. Part I. An introduction to educational research -- chapter 1. The process of conducting research using quantitative and qualitative approaches -- Part II. The steps in the process of research -- chapter 2. Identifying a research problem -- chapter 3. Reviewing the literature -- chapter 4. Specifying a purpose and research questions or hypotheses -- chapter 5. Collecting quantitative data -- chapter 6. Analyzing and interpreting quantitative data -- chapter 7. Collecting qualitative data -- chapter 8. Analyzing and interpreting qualitative data -- chapter 9. Reporting and evaluating research -- Part III. Research designs -- chapter 10. Experimental designs -- chapter 11. Correlational designs -- chapter 12. Survey designs -- chapter 13. Grounded theory designs -- chapter 14. Ethnographic designs -- chapter 15. Narrative research designs -- chapter 16. Mixed methods designs -- chapter 17. Action research designs.&quot;,&quot;publisher&quot;:&quot;PHI Learning Private Limited&quot;,&quot;container-title-short&quot;:&quot;&quot;},&quot;isTemporary&quot;:false}]},{&quot;citationID&quot;:&quot;MENDELEY_CITATION_68498c6b-e664-42a6-a850-b2a61b23e5ae&quot;,&quot;properties&quot;:{&quot;noteIndex&quot;:0},&quot;isEdited&quot;:false,&quot;manualOverride&quot;:{&quot;isManuallyOverridden&quot;:false,&quot;citeprocText&quot;:&quot;[16]&quot;,&quot;manualOverrideText&quot;:&quot;&quot;},&quot;citationTag&quot;:&quot;MENDELEY_CITATION_v3_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&quot;,&quot;citationItems&quot;:[{&quot;id&quot;:&quot;2547196d-d811-3850-b8fc-e2cbd49a7658&quot;,&quot;itemData&quot;:{&quot;type&quot;:&quot;report&quot;,&quot;id&quot;:&quot;2547196d-d811-3850-b8fc-e2cbd49a7658&quot;,&quot;title&quot;:&quot;METODE PENELITIAN KKUANTITATIF KUALITATIF DAN R&amp;D&quot;,&quot;author&quot;:[{&quot;family&quot;:&quot;Sugiyono&quot;,&quot;given&quot;:&quot;&quot;,&quot;parse-names&quot;:false,&quot;dropping-particle&quot;:&quot;&quot;,&quot;non-dropping-particle&quot;:&quot;&quot;}],&quot;issued&quot;:{&quot;date-parts&quot;:[[2013]]},&quot;container-title-short&quot;:&quot;&quot;},&quot;isTemporary&quot;:false}]},{&quot;citationID&quot;:&quot;MENDELEY_CITATION_d30a69ae-0cc4-4c52-8d46-1d5ccfc23fd1&quot;,&quot;properties&quot;:{&quot;noteIndex&quot;:0},&quot;isEdited&quot;:false,&quot;manualOverride&quot;:{&quot;isManuallyOverridden&quot;:false,&quot;citeprocText&quot;:&quot;[8]&quot;,&quot;manualOverrideText&quot;:&quot;&quot;},&quot;citationTag&quot;:&quot;MENDELEY_CITATION_v3_eyJjaXRhdGlvbklEIjoiTUVOREVMRVlfQ0lUQVRJT05fZDMwYTY5YWUtMGNjNC00YzUyLThkNDYtMWQ1Y2NmYzIzZmQx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quot;,&quot;citationItems&quot;:[{&quot;id&quot;:&quot;e9a9ce9f-7c0c-318b-8e2d-bfcd23c6fa65&quot;,&quot;itemData&quot;:{&quot;type&quot;:&quot;article-journal&quot;,&quot;id&quot;:&quot;e9a9ce9f-7c0c-318b-8e2d-bfcd23c6fa65&quot;,&quot;title&quot;:&quot;Think and pair before share: Effects of collaboration on students' in-class participation&quot;,&quot;author&quot;:[{&quot;family&quot;:&quot;Mundelsee&quot;,&quot;given&quot;:&quot;Lukas&quot;,&quot;parse-names&quot;:false,&quot;dropping-particle&quot;:&quot;&quot;,&quot;non-dropping-particle&quot;:&quot;&quot;},{&quot;family&quot;:&quot;Jurkowski&quot;,&quot;given&quot;:&quot;Susanne&quot;,&quot;parse-names&quot;:false,&quot;dropping-particle&quot;:&quot;&quot;,&quot;non-dropping-particle&quot;:&quot;&quot;}],&quot;container-title&quot;:&quot;Learning and Individual Differences&quot;,&quot;container-title-short&quot;:&quot;Learn. Individ. Differ.&quot;,&quot;DOI&quot;:&quot;10.1016/j.lindif.2021.102015&quot;,&quot;ISSN&quot;:&quot;10416080&quot;,&quot;issued&quot;:{&quot;date-parts&quot;:[[2021,5]]},&quot;page&quot;:&quot;102015&quot;,&quot;volume&quot;:&quot;88&quot;},&quot;isTemporary&quot;:false}]},{&quot;citationID&quot;:&quot;MENDELEY_CITATION_150b6d03-bc8c-4384-9518-69a2aff63703&quot;,&quot;properties&quot;:{&quot;noteIndex&quot;:0},&quot;isEdited&quot;:false,&quot;manualOverride&quot;:{&quot;isManuallyOverridden&quot;:false,&quot;citeprocText&quot;:&quot;[18]&quot;,&quot;manualOverrideText&quot;:&quot;&quot;},&quot;citationTag&quot;:&quot;MENDELEY_CITATION_v3_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&quot;,&quot;citationItems&quot;:[{&quot;id&quot;:&quot;6255e55a-0843-38e3-b812-5836d7686ef1&quot;,&quot;itemData&quot;:{&quot;type&quot;:&quot;report&quot;,&quot;id&quot;:&quot;6255e55a-0843-38e3-b812-5836d7686ef1&quot;,&quot;title&quot;:&quot;Inclusive Education as a Catalyst for Social Transformation: A Systematic Literature Review&quot;,&quot;author&quot;:[{&quot;family&quot;:&quot;Firmansyah&quot;,&quot;given&quot;:&quot;Eka&quot;,&quot;parse-names&quot;:false,&quot;dropping-particle&quot;:&quot;&quot;,&quot;non-dropping-particle&quot;:&quot;&quot;},{&quot;family&quot;:&quot;Ikhwan&quot;,&quot;given&quot;:&quot;Afiful&quot;,&quot;parse-names&quot;:false,&quot;dropping-particle&quot;:&quot;&quot;,&quot;non-dropping-particle&quot;:&quot;&quot;}],&quot;abstract&quot;:&quot;Inclusive education has been increasingly recognized as a mechanism for advancing equity and driving broader social transformation, yet the pathways linking classroom-level practice to societal change remain fragmented across disciplines. This study aims to systematically synthesize existing literature examining how inclusive education functions as a catalyst for social transformation, identifying the mechanisms, contextual factors, and outcomes shaping this relationship. A systematic literature review was conducted following the PRISMA 2020 protocol, drawing on peer-reviewed journal articles, book chapters, and conference proceedings retrieved through the Scopus database. The review synthesized findings across pedagogical, institutional, and community-level dimensions of inclusive education. Results indicate that educational equity serves as the central mediating construct linking inclusive practices to social outcomes, while persistent structural barriers, including infrastructural limitations, teacher preparedness gaps, and entrenched societal attitudes, continue to constrain implementation across diverse contexts. Findings further reveal that inclusion extends beyond formal education into health, civic, and economic domains, reinforcing cross-sectoral pathways to social change. These outcomes demonstrate that inclusive education contributes directly to Sustainable Development Goal 4 (Quality Education), while simultaneously advancing Goal 10 (Reduced Inequalities) and Goal 16 (Peace, Justice and Strong Institutions), positioning it as a cross-cutting driver of sustainable transformation.&quot;,&quot;container-title-short&quot;:&quot;&quot;},&quot;isTemporary&quot;:false}]},{&quot;citationID&quot;:&quot;MENDELEY_CITATION_8eb2ecbc-ca22-48ef-b08c-837bb5ab0416&quot;,&quot;properties&quot;:{&quot;noteIndex&quot;:0},&quot;isEdited&quot;:false,&quot;manualOverride&quot;:{&quot;isManuallyOverridden&quot;:false,&quot;citeprocText&quot;:&quot;[9]&quot;,&quot;manualOverrideText&quot;:&quot;&quot;},&quot;citationTag&quot;:&quot;MENDELEY_CITATION_v3_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&quot;,&quot;citationItems&quot;:[{&quot;id&quot;:&quot;868a840c-f781-3385-9d52-55433640bcb6&quot;,&quot;itemData&quot;:{&quot;type&quot;:&quot;article-journal&quot;,&quot;id&quot;:&quot;868a840c-f781-3385-9d52-55433640bcb6&quot;,&quot;title&quot;:&quot;The Effect of Think Pair Share Learning Model to Improve Studentâ€™s Problem-Solving Ability&quot;,&quot;author&quot;:[{&quot;family&quot;:&quot;Marhaeni&quot;,&quot;given&quot;:&quot;Nafida Hetty&quot;,&quot;parse-names&quot;:false,&quot;dropping-particle&quot;:&quot;&quot;,&quot;non-dropping-particle&quot;:&quot;&quot;},{&quot;family&quot;:&quot;Ramos&quot;,&quot;given&quot;:&quot;Sarah Vega&quot;,&quot;parse-names&quot;:false,&quot;dropping-particle&quot;:&quot;&quot;,&quot;non-dropping-particle&quot;:&quot;&quot;},{&quot;family&quot;:&quot;Triyadi&quot;,&quot;given&quot;:&quot;Totok&quot;,&quot;parse-names&quot;:false,&quot;dropping-particle&quot;:&quot;&quot;,&quot;non-dropping-particle&quot;:&quot;&quot;},{&quot;family&quot;:&quot;Sudarmaji&quot;,&quot;given&quot;:&quot;Bayu&quot;,&quot;parse-names&quot;:false,&quot;dropping-particle&quot;:&quot;&quot;,&quot;non-dropping-particle&quot;:&quot;&quot;}],&quot;container-title&quot;:&quot;Jurnal Mercumatika : Jurnal Penelitian Matematika dan Pendidikan Matematika&quot;,&quot;DOI&quot;:&quot;10.26486/jm.v6i2.3032&quot;,&quot;ISSN&quot;:&quot;2548-1819&quot;,&quot;issued&quot;:{&quot;date-parts&quot;:[[2022,11,3]]},&quot;abstract&quot;:&quot;&lt;p&gt;Problem solving skills are useful for training students to face increasingly complex problems. Learning models that have not been able to stimulate these abilities need to be applied. Thus, the purpose of this study was to determine the effect of the Think Pair Share learning model to improve students' problem solving abilities. This type of research is experimental research with pretest posttest control group design. The samples in this study were class VIIIA students as the experimental class and class VIIIC students as the control class, each class totaling 32 students. Data collection techniques used interviews, observations, and problem-solving ability test questions on the Pythagorean theorem material. The results showed that the application of the Think Pair Share learning model has been proven to be effective in improving students' problem solving abilities. Based on the results of the increase in students' problem-solving ability tests, the experimental class was higher than the control class (32.5 &amp;gt; 21.88). In addition, the application of the Think Pair Share learning model gives students more time to think deeply about what is being explained or experienced (thinking, answering, and helping each other). In addition, the TPS learning model also provides opportunities for students to think deeply and can help each other.&lt;/p&gt;&quot;,&quot;issue&quot;:&quot;2&quot;,&quot;volume&quot;:&quot;6&quot;,&quot;container-title-short&quot;:&quot;&quot;},&quot;isTemporary&quot;:false}]},{&quot;citationID&quot;:&quot;MENDELEY_CITATION_044d5bc9-0581-42ce-a8b5-0e49d75b492a&quot;,&quot;properties&quot;:{&quot;noteIndex&quot;:0},&quot;isEdited&quot;:false,&quot;manualOverride&quot;:{&quot;isManuallyOverridden&quot;:false,&quot;citeprocText&quot;:&quot;[19]&quot;,&quot;manualOverrideText&quot;:&quot;&quot;},&quot;citationTag&quot;:&quot;MENDELEY_CITATION_v3_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&quot;,&quot;citationItems&quot;:[{&quot;id&quot;:&quot;b6a0c1c6-5421-36cd-8a2f-2d3cda31fe2f&quot;,&quot;itemData&quot;:{&quot;type&quot;:&quot;article-journal&quot;,&quot;id&quot;:&quot;b6a0c1c6-5421-36cd-8a2f-2d3cda31fe2f&quot;,&quot;title&quot;:&quot;Reconsidering the Share of a Think–Pair–Share: Emerging Limitations, Alternatives, and Opportunities for Research&quot;,&quot;author&quot;:[{&quot;family&quot;:&quot;Cooper&quot;,&quot;given&quot;:&quot;Katelyn M.&quot;,&quot;parse-names&quot;:false,&quot;dropping-particle&quot;:&quot;&quot;,&quot;non-dropping-particle&quot;:&quot;&quot;},{&quot;family&quot;:&quot;Schinske&quot;,&quot;given&quot;:&quot;Jeffrey N.&quot;,&quot;parse-names&quot;:false,&quot;dropping-particle&quot;:&quot;&quot;,&quot;non-dropping-particle&quot;:&quot;&quot;},{&quot;family&quot;:&quot;Tanner&quot;,&quot;given&quot;:&quot;Kimberly D.&quot;,&quot;parse-names&quot;:false,&quot;dropping-particle&quot;:&quot;&quot;,&quot;non-dropping-particle&quot;:&quot;&quot;}],&quot;container-title&quot;:&quot;CBE—Life Sciences Education&quot;,&quot;DOI&quot;:&quot;10.1187/cbe.20-08-0200&quot;,&quot;ISSN&quot;:&quot;1931-7913&quot;,&quot;issued&quot;:{&quot;date-parts&quot;:[[2021,3]]},&quot;page&quot;:&quot;fe1&quot;,&quot;abstract&quot;:&quot;&lt;p&gt;The think–pair–share is a common teaching tool, but how critical is the “share” step in helping students achieve learning goals? This feature examines assumptions that instructors may make about the share, explores unanticipated impacts of the share, and provides alternatives to having students share their thoughts in front of the class.&lt;/p&gt;&quot;,&quot;issue&quot;:&quot;1&quot;,&quot;volume&quot;:&quot;20&quot;,&quot;container-title-short&quot;:&quot;&quot;},&quot;isTemporary&quot;:false}]},{&quot;citationID&quot;:&quot;MENDELEY_CITATION_595bcab4-c503-4ae3-a027-b688ef8d1176&quot;,&quot;properties&quot;:{&quot;noteIndex&quot;:0},&quot;isEdited&quot;:false,&quot;manualOverride&quot;:{&quot;isManuallyOverridden&quot;:false,&quot;citeprocText&quot;:&quot;[20]&quot;,&quot;manualOverrideText&quot;:&quot;&quot;},&quot;citationTag&quot;:&quot;MENDELEY_CITATION_v3_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&quot;,&quot;citationItems&quot;:[{&quot;id&quot;:&quot;c61df375-49e6-34c5-8205-c26d13984eec&quot;,&quot;itemData&quot;:{&quot;type&quot;:&quot;article-journal&quot;,&quot;id&quot;:&quot;c61df375-49e6-34c5-8205-c26d13984eec&quot;,&quot;title&quot;:&quot;The Effect of Think Pair Share (TPS) Cooperative Learning on Students’ Conceptual Understanding in IPAS Learning at SDN 28&quot;,&quot;author&quot;:[{&quot;family&quot;:&quot;Tarisa Putri&quot;,&quot;given&quot;:&quot;&quot;,&quot;parse-names&quot;:false,&quot;dropping-particle&quot;:&quot;&quot;,&quot;non-dropping-particle&quot;:&quot;&quot;},{&quot;family&quot;:&quot;Joni Albar&quot;,&quot;given&quot;:&quot;&quot;,&quot;parse-names&quot;:false,&quot;dropping-particle&quot;:&quot;&quot;,&quot;non-dropping-particle&quot;:&quot;&quot;},{&quot;family&quot;:&quot;Kasihani Lestari&quot;,&quot;given&quot;:&quot;&quot;,&quot;parse-names&quot;:false,&quot;dropping-particle&quot;:&quot;&quot;,&quot;non-dropping-particle&quot;:&quot;&quot;}],&quot;container-title&quot;:&quot;Journal Innovative Practices in Education (JIPE)&quot;,&quot;DOI&quot;:&quot;10.58540/jipe.v1i3.1612&quot;,&quot;ISSN&quot;:&quot;3123-4585&quot;,&quot;issued&quot;:{&quot;date-parts&quot;:[[2026,5,7]]},&quot;page&quot;:&quot;179-183&quot;,&quot;abstract&quot;:&quot;&lt;p&gt;This study investigates how the Think Pair Share (TPS) cooperative learning strategy influences students’ conceptual understanding in IPAS learning at the elementary level. Conceptual understanding is essential in enabling learners to interpret knowledge meaningfully and apply it across contexts. Nevertheless, classroom practices often remain teacher-centered, limiting student engagement and resulting in suboptimal learning outcomes. A quantitative approach was adopted using a pre-experimental one-group pretest-posttest design. The participants were 23 fifth-grade students of SDN 28 Kelakik in the 2024/2025 academic year, selected through purposive sampling. Data collection involved achievement tests (pretest and posttest), supported by questionnaires, observations, and documentation. The data were analyzed using a paired sample t-test with SPSS version 26. The findings indicate a notable improvement in students’ conceptual understanding, reflected by an increase in the average score from 64.70 in the pretest to 77.26 in the posttest. Statistical testing revealed a significance value of 0.000 (&amp;lt; 0.05), confirming that the TPS model has a meaningful impact. These results align with previous studies highlighting the effectiveness of TPS in fostering critical thinking and collaborative learning. Hence, TPS can be considered a practical instructional strategy for enhancing conceptual understanding in elementary IPAS learning.&lt;/p&gt;&quot;,&quot;issue&quot;:&quot;3&quot;,&quot;volume&quot;:&quot;1&quot;,&quot;container-title-short&quot;:&quot;&quot;},&quot;isTemporary&quot;:false}]},{&quot;citationID&quot;:&quot;MENDELEY_CITATION_69cf80c3-71ef-4e44-a71f-aa14a439ee93&quot;,&quot;properties&quot;:{&quot;noteIndex&quot;:0},&quot;isEdited&quot;:false,&quot;manualOverride&quot;:{&quot;isManuallyOverridden&quot;:false,&quot;citeprocText&quot;:&quot;[21]&quot;,&quot;manualOverrideText&quot;:&quot;&quot;},&quot;citationTag&quot;:&quot;MENDELEY_CITATION_v3_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&quot;,&quot;citationItems&quot;:[{&quot;id&quot;:&quot;2f1f52ba-4bb3-3388-b9d7-29cbb51124db&quot;,&quot;itemData&quot;:{&quot;type&quot;:&quot;article-journal&quot;,&quot;id&quot;:&quot;2f1f52ba-4bb3-3388-b9d7-29cbb51124db&quot;,&quot;title&quot;:&quot;Engaging with others’ mathematical ideas: Interrelationships among student participation, teachers’ instructional practices, and learning&quot;,&quot;author&quot;:[{&quot;family&quot;:&quot;Webb&quot;,&quot;given&quot;:&quot;Noreen M.&quot;,&quot;parse-names&quot;:false,&quot;dropping-particle&quot;:&quot;&quot;,&quot;non-dropping-particle&quot;:&quot;&quot;},{&quot;family&quot;:&quot;Franke&quot;,&quot;given&quot;:&quot;Megan L.&quot;,&quot;parse-names&quot;:false,&quot;dropping-particle&quot;:&quot;&quot;,&quot;non-dropping-particle&quot;:&quot;&quot;},{&quot;family&quot;:&quot;Ing&quot;,&quot;given&quot;:&quot;Marsha&quot;,&quot;parse-names&quot;:false,&quot;dropping-particle&quot;:&quot;&quot;,&quot;non-dropping-particle&quot;:&quot;&quot;},{&quot;family&quot;:&quot;Wong&quot;,&quot;given&quot;:&quot;Jacqueline&quot;,&quot;parse-names&quot;:false,&quot;dropping-particle&quot;:&quot;&quot;,&quot;non-dropping-particle&quot;:&quot;&quot;},{&quot;family&quot;:&quot;Fernandez&quot;,&quot;given&quot;:&quot;Cecilia H.&quot;,&quot;parse-names&quot;:false,&quot;dropping-particle&quot;:&quot;&quot;,&quot;non-dropping-particle&quot;:&quot;&quot;},{&quot;family&quot;:&quot;Shin&quot;,&quot;given&quot;:&quot;Nami&quot;,&quot;parse-names&quot;:false,&quot;dropping-particle&quot;:&quot;&quot;,&quot;non-dropping-particle&quot;:&quot;&quot;},{&quot;family&quot;:&quot;Turrou&quot;,&quot;given&quot;:&quot;Angela C.&quot;,&quot;parse-names&quot;:false,&quot;dropping-particle&quot;:&quot;&quot;,&quot;non-dropping-particle&quot;:&quot;&quot;}],&quot;container-title&quot;:&quot;International Journal of Educational Research&quot;,&quot;container-title-short&quot;:&quot;Int. J. Educ. Res.&quot;,&quot;DOI&quot;:&quot;10.1016/j.ijer.2013.02.001&quot;,&quot;ISSN&quot;:&quot;08830355&quot;,&quot;issued&quot;:{&quot;date-parts&quot;:[[2014]]},&quot;page&quot;:&quot;79-93&quot;,&quot;volume&quot;:&quot;63&quot;},&quot;isTemporary&quot;:false}]},{&quot;citationID&quot;:&quot;MENDELEY_CITATION_d85ee6e0-0957-4ebb-a1ce-21b6175cb9fd&quot;,&quot;properties&quot;:{&quot;noteIndex&quot;:0},&quot;isEdited&quot;:false,&quot;manualOverride&quot;:{&quot;isManuallyOverridden&quot;:false,&quot;citeprocText&quot;:&quot;[22]&quot;,&quot;manualOverrideText&quot;:&quot;&quot;},&quot;citationTag&quot;:&quot;MENDELEY_CITATION_v3_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&quot;,&quot;citationItems&quot;:[{&quot;id&quot;:&quot;411349ef-24ff-3d07-8d28-330f09a8b73a&quot;,&quot;itemData&quot;:{&quot;type&quot;:&quot;article-journal&quot;,&quot;id&quot;:&quot;411349ef-24ff-3d07-8d28-330f09a8b73a&quot;,&quot;title&quot;:&quot;Gaining from explaining: Learning improves from explaining to fictitious others on video, not from writing to them&quot;,&quot;author&quot;:[{&quot;family&quot;:&quot;Hoogerheide&quot;,&quot;given&quot;:&quot;Vincent&quot;,&quot;parse-names&quot;:false,&quot;dropping-particle&quot;:&quot;&quot;,&quot;non-dropping-particle&quot;:&quot;&quot;},{&quot;family&quot;:&quot;Deijkers&quot;,&quot;given&quot;:&quot;Lian&quot;,&quot;parse-names&quot;:false,&quot;dropping-particle&quot;:&quot;&quot;,&quot;non-dropping-particle&quot;:&quot;&quot;},{&quot;family&quot;:&quot;Loyens&quot;,&quot;given&quot;:&quot;Sofie M.M.&quot;,&quot;parse-names&quot;:false,&quot;dropping-particle&quot;:&quot;&quot;,&quot;non-dropping-particle&quot;:&quot;&quot;},{&quot;family&quot;:&quot;Heijltjes&quot;,&quot;given&quot;:&quot;Anita&quot;,&quot;parse-names&quot;:false,&quot;dropping-particle&quot;:&quot;&quot;,&quot;non-dropping-particle&quot;:&quot;&quot;},{&quot;family&quot;:&quot;Gog&quot;,&quot;given&quot;:&quot;Tamara&quot;,&quot;parse-names&quot;:false,&quot;dropping-particle&quot;:&quot;&quot;,&quot;non-dropping-particle&quot;:&quot;van&quot;}],&quot;container-title&quot;:&quot;Contemporary Educational Psychology&quot;,&quot;container-title-short&quot;:&quot;Contemp. Educ. Psychol.&quot;,&quot;DOI&quot;:&quot;10.1016/j.cedpsych.2016.02.005&quot;,&quot;ISSN&quot;:&quot;0361476X&quot;,&quot;issued&quot;:{&quot;date-parts&quot;:[[2016,1]]},&quot;page&quot;:&quot;95-106&quot;,&quot;volume&quot;:&quot;44-45&quot;},&quot;isTemporary&quot;:false}]},{&quot;citationID&quot;:&quot;MENDELEY_CITATION_cbcec5b6-9984-4511-a6ca-08b1c363dae3&quot;,&quot;properties&quot;:{&quot;noteIndex&quot;:0},&quot;isEdited&quot;:false,&quot;manualOverride&quot;:{&quot;isManuallyOverridden&quot;:false,&quot;citeprocText&quot;:&quot;[23]&quot;,&quot;manualOverrideText&quot;:&quot;&quot;},&quot;citationTag&quot;:&quot;MENDELEY_CITATION_v3_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&quot;,&quot;citationItems&quot;:[{&quot;id&quot;:&quot;2921b70a-679e-3ca8-aebb-2b2cb55b983a&quot;,&quot;itemData&quot;:{&quot;type&quot;:&quot;article-journal&quot;,&quot;id&quot;:&quot;2921b70a-679e-3ca8-aebb-2b2cb55b983a&quot;,&quot;title&quot;:&quot;Improving Students’ Learning With Effective Learning Techniques&quot;,&quot;author&quot;:[{&quot;family&quot;:&quot;Dunlosky&quot;,&quot;given&quot;:&quot;John&quot;,&quot;parse-names&quot;:false,&quot;dropping-particle&quot;:&quot;&quot;,&quot;non-dropping-particle&quot;:&quot;&quot;},{&quot;family&quot;:&quot;Rawson&quot;,&quot;given&quot;:&quot;Katherine A.&quot;,&quot;parse-names&quot;:false,&quot;dropping-particle&quot;:&quot;&quot;,&quot;non-dropping-particle&quot;:&quot;&quot;},{&quot;family&quot;:&quot;Marsh&quot;,&quot;given&quot;:&quot;Elizabeth J.&quot;,&quot;parse-names&quot;:false,&quot;dropping-particle&quot;:&quot;&quot;,&quot;non-dropping-particle&quot;:&quot;&quot;},{&quot;family&quot;:&quot;Nathan&quot;,&quot;given&quot;:&quot;Mitchell J.&quot;,&quot;parse-names&quot;:false,&quot;dropping-particle&quot;:&quot;&quot;,&quot;non-dropping-particle&quot;:&quot;&quot;},{&quot;family&quot;:&quot;Willingham&quot;,&quot;given&quot;:&quot;Daniel T.&quot;,&quot;parse-names&quot;:false,&quot;dropping-particle&quot;:&quot;&quot;,&quot;non-dropping-particle&quot;:&quot;&quot;}],&quot;container-title&quot;:&quot;Psychological Science in the Public Interest&quot;,&quot;DOI&quot;:&quot;10.1177/1529100612453266&quot;,&quot;ISSN&quot;:&quot;1529-1006&quot;,&quot;issued&quot;:{&quot;date-parts&quot;:[[2013,1,8]]},&quot;page&quot;:&quot;4-58&quot;,&quot;abstract&quot;:&quot;&lt;p&gt;Many students are being left behind by an educational system that some people believe is in crisis. Improving educational outcomes will require efforts on many fronts, but a central premise of this monograph is that one part of a solution involves helping students to better regulate their learning through the use of effective learning techniques. Fortunately, cognitive and educational psychologists have been developing and evaluating easy-to-use learning techniques that could help students achieve their learning goals. In this monograph, we discuss 10 learning techniques in detail and offer recommendations about their relative utility. We selected techniques that were expected to be relatively easy to use and hence could be adopted by many students. Also, some techniques (e.g., highlighting and rereading) were selected because students report relying heavily on them, which makes it especially important to examine how well they work. The techniques include elaborative interrogation, self-explanation, summarization, highlighting (or underlining), the keyword mnemonic, imagery use for text learning, rereading, practice testing, distributed practice, and interleaved practice.&lt;/p&gt;&quot;,&quot;issue&quot;:&quot;1&quot;,&quot;volume&quot;:&quot;14&quot;,&quot;container-title-short&quot;:&quot;&quot;},&quot;isTemporary&quot;:false}]},{&quot;citationID&quot;:&quot;MENDELEY_CITATION_1321bed8-f6a7-43e0-9665-3a3f0f3de0aa&quot;,&quot;properties&quot;:{&quot;noteIndex&quot;:0},&quot;isEdited&quot;:false,&quot;manualOverride&quot;:{&quot;isManuallyOverridden&quot;:false,&quot;citeprocText&quot;:&quot;[8]&quot;,&quot;manualOverrideText&quot;:&quot;&quot;},&quot;citationTag&quot;:&quot;MENDELEY_CITATION_v3_eyJjaXRhdGlvbklEIjoiTUVOREVMRVlfQ0lUQVRJT05fMTMyMWJlZDgtZjZhNy00M2UwLTk2NjUtM2EzZjBmM2RlMGFh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quot;,&quot;citationItems&quot;:[{&quot;id&quot;:&quot;e9a9ce9f-7c0c-318b-8e2d-bfcd23c6fa65&quot;,&quot;itemData&quot;:{&quot;type&quot;:&quot;article-journal&quot;,&quot;id&quot;:&quot;e9a9ce9f-7c0c-318b-8e2d-bfcd23c6fa65&quot;,&quot;title&quot;:&quot;Think and pair before share: Effects of collaboration on students' in-class participation&quot;,&quot;author&quot;:[{&quot;family&quot;:&quot;Mundelsee&quot;,&quot;given&quot;:&quot;Lukas&quot;,&quot;parse-names&quot;:false,&quot;dropping-particle&quot;:&quot;&quot;,&quot;non-dropping-particle&quot;:&quot;&quot;},{&quot;family&quot;:&quot;Jurkowski&quot;,&quot;given&quot;:&quot;Susanne&quot;,&quot;parse-names&quot;:false,&quot;dropping-particle&quot;:&quot;&quot;,&quot;non-dropping-particle&quot;:&quot;&quot;}],&quot;container-title&quot;:&quot;Learning and Individual Differences&quot;,&quot;container-title-short&quot;:&quot;Learn. Individ. Differ.&quot;,&quot;DOI&quot;:&quot;10.1016/j.lindif.2021.102015&quot;,&quot;ISSN&quot;:&quot;10416080&quot;,&quot;issued&quot;:{&quot;date-parts&quot;:[[2021,5]]},&quot;page&quot;:&quot;102015&quot;,&quot;volume&quot;:&quot;88&quot;},&quot;isTemporary&quot;:false}]},{&quot;citationID&quot;:&quot;MENDELEY_CITATION_9ce573c7-e87d-4989-a690-80967204dc31&quot;,&quot;properties&quot;:{&quot;noteIndex&quot;:0},&quot;isEdited&quot;:false,&quot;manualOverride&quot;:{&quot;isManuallyOverridden&quot;:false,&quot;citeprocText&quot;:&quot;[24]&quot;,&quot;manualOverrideText&quot;:&quot;&quot;},&quot;citationTag&quot;:&quot;MENDELEY_CITATION_v3_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&quot;,&quot;citationItems&quot;:[{&quot;id&quot;:&quot;ef49f03f-b2cd-33aa-b7d8-eff6791a8c26&quot;,&quot;itemData&quot;:{&quot;type&quot;:&quot;article-journal&quot;,&quot;id&quot;:&quot;ef49f03f-b2cd-33aa-b7d8-eff6791a8c26&quot;,&quot;title&quot;:&quot;The Level of Effectiveness of TPS and Conventional Methods Judging from Students' Geometry Learning Results Using the N-Gain Test&quot;,&quot;author&quot;:[{&quot;family&quot;:&quot;Triyono&quot;,&quot;given&quot;:&quot;Ageng&quot;,&quot;parse-names&quot;:false,&quot;dropping-particle&quot;:&quot;&quot;,&quot;non-dropping-particle&quot;:&quot;&quot;},{&quot;family&quot;:&quot;Nuary&quot;,&quot;given&quot;:&quot;Rusdi Hamdany&quot;,&quot;parse-names&quot;:false,&quot;dropping-particle&quot;:&quot;&quot;,&quot;non-dropping-particle&quot;:&quot;&quot;},{&quot;family&quot;:&quot;Permatasari&quot;,&quot;given&quot;:&quot;Nisa&quot;,&quot;parse-names&quot;:false,&quot;dropping-particle&quot;:&quot;&quot;,&quot;non-dropping-particle&quot;:&quot;&quot;},{&quot;family&quot;:&quot;Yuni&quot;,&quot;given&quot;:&quot;Yatha&quot;,&quot;parse-names&quot;:false,&quot;dropping-particle&quot;:&quot;&quot;,&quot;non-dropping-particle&quot;:&quot;&quot;},{&quot;family&quot;:&quot;Wibowo&quot;,&quot;given&quot;:&quot;Teguh&quot;,&quot;parse-names&quot;:false,&quot;dropping-particle&quot;:&quot;&quot;,&quot;non-dropping-particle&quot;:&quot;&quot;}],&quot;container-title&quot;:&quot;AlphaMath : Journal of Mathematics Education&quot;,&quot;DOI&quot;:&quot;10.30595/alphamath.v10i1.21530&quot;,&quot;ISSN&quot;:&quot;2549-9084&quot;,&quot;issued&quot;:{&quot;date-parts&quot;:[[2024,5,31]]},&quot;page&quot;:&quot;125&quot;,&quot;abstract&quot;:&quot;&lt;p&gt;The low results of student geometry learning require a trial of the think-pair-share method as a replacement for conventional methods. This research aims to: (1) compare the level of effectiveness of applying the think-pair-share method with conventional learning in improving student geometry learning outcomes, and; (2) determine whether or not there is a significant effect from using the two methods. The method used is quasi-experimental with a nonequivalent pretest-posttest control group design involving an experimental group and a control group. Each group consisted of 23 class VII students selected non-randomly from the population. Data was taken using a geometry learning outcomes test instrument. Data were analyzed using the N-Gain Score test, the results of the calculations were converted into interpretation categories for N-Gain effectiveness to be concluded. Research findings: (1) the application of both methods was \&quot;ineffective\&quot;, as shown by the calculation results of the average N-Gain score (%) for the experimental group of 38.112% and the control group of 30.636%, and; (2) based on the results of the hypothesis test, it was concluded that there was no significant influence from the application of the two methods on improving student geometry learning outcomes. The implication of this finding is that it is not recommended to apply the think-pair-share method if it is only focused on improving the geometry learning outcomes of class VII students, but it can still be applied for the purpose of developing students' collaboration skills.&lt;/p&gt;&quot;,&quot;issue&quot;:&quot;1&quot;,&quot;volume&quot;:&quot;10&quot;,&quot;container-title-short&quot;:&quot;&quot;},&quot;isTemporary&quot;:false}]},{&quot;citationID&quot;:&quot;MENDELEY_CITATION_a6763d1e-471b-41b2-856a-c25417616482&quot;,&quot;properties&quot;:{&quot;noteIndex&quot;:0},&quot;isEdited&quot;:false,&quot;manualOverride&quot;:{&quot;isManuallyOverridden&quot;:false,&quot;citeprocText&quot;:&quot;[8]&quot;,&quot;manualOverrideText&quot;:&quot;&quot;},&quot;citationTag&quot;:&quot;MENDELEY_CITATION_v3_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&quot;,&quot;citationItems&quot;:[{&quot;id&quot;:&quot;e9a9ce9f-7c0c-318b-8e2d-bfcd23c6fa65&quot;,&quot;itemData&quot;:{&quot;type&quot;:&quot;article-journal&quot;,&quot;id&quot;:&quot;e9a9ce9f-7c0c-318b-8e2d-bfcd23c6fa65&quot;,&quot;title&quot;:&quot;Think and pair before share: Effects of collaboration on students' in-class participation&quot;,&quot;author&quot;:[{&quot;family&quot;:&quot;Mundelsee&quot;,&quot;given&quot;:&quot;Lukas&quot;,&quot;parse-names&quot;:false,&quot;dropping-particle&quot;:&quot;&quot;,&quot;non-dropping-particle&quot;:&quot;&quot;},{&quot;family&quot;:&quot;Jurkowski&quot;,&quot;given&quot;:&quot;Susanne&quot;,&quot;parse-names&quot;:false,&quot;dropping-particle&quot;:&quot;&quot;,&quot;non-dropping-particle&quot;:&quot;&quot;}],&quot;container-title&quot;:&quot;Learning and Individual Differences&quot;,&quot;container-title-short&quot;:&quot;Learn. Individ. Differ.&quot;,&quot;DOI&quot;:&quot;10.1016/j.lindif.2021.102015&quot;,&quot;ISSN&quot;:&quot;10416080&quot;,&quot;issued&quot;:{&quot;date-parts&quot;:[[2021,5]]},&quot;page&quot;:&quot;102015&quot;,&quot;volume&quot;:&quot;88&quot;},&quot;isTemporary&quot;:false}]},{&quot;citationID&quot;:&quot;MENDELEY_CITATION_6b378ed8-f9da-4085-9f81-a4b72460d6de&quot;,&quot;properties&quot;:{&quot;noteIndex&quot;:0},&quot;isEdited&quot;:false,&quot;manualOverride&quot;:{&quot;isManuallyOverridden&quot;:false,&quot;citeprocText&quot;:&quot;[25]&quot;,&quot;manualOverrideText&quot;:&quot;&quot;},&quot;citationTag&quot;:&quot;MENDELEY_CITATION_v3_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&quot;,&quot;citationItems&quot;:[{&quot;id&quot;:&quot;a92e8aa0-b162-34bb-8b39-29fc61ef9b61&quot;,&quot;itemData&quot;:{&quot;type&quot;:&quot;article-journal&quot;,&quot;id&quot;:&quot;a92e8aa0-b162-34bb-8b39-29fc61ef9b61&quot;,&quot;title&quot;:&quot;The relevance of the International Classification of Functioning, Disability and Health (ICF) to mental disorders and their treatment&quot;,&quot;author&quot;:[{&quot;family&quot;:&quot;Reed&quot;,&quot;given&quot;:&quot;Geoffrey M&quot;,&quot;parse-names&quot;:false,&quot;dropping-particle&quot;:&quot;&quot;,&quot;non-dropping-particle&quot;:&quot;&quot;},{&quot;family&quot;:&quot;Spaulding&quot;,&quot;given&quot;:&quot;William D&quot;,&quot;parse-names&quot;:false,&quot;dropping-particle&quot;:&quot;&quot;,&quot;non-dropping-particle&quot;:&quot;&quot;},{&quot;family&quot;:&quot;Bufka&quot;,&quot;given&quot;:&quot;Lynn F&quot;,&quot;parse-names&quot;:false,&quot;dropping-particle&quot;:&quot;&quot;,&quot;non-dropping-particle&quot;:&quot;&quot;}],&quot;container-title&quot;:&quot;Alter&quot;,&quot;container-title-short&quot;:&quot;Alter&quot;,&quot;DOI&quot;:&quot;https://doi.org/10.1016/j.alter.2008.11.003&quot;,&quot;ISSN&quot;:&quot;1875-0672&quot;,&quot;URL&quot;:&quot;https://www.sciencedirect.com/science/article/pii/S1875067209000303&quot;,&quot;issued&quot;:{&quot;date-parts&quot;:[[2009]]},&quot;page&quot;:&quot;340-359&quot;,&quot;abstract&quot;:&quot;This article examines the potential usefulness of the ICF in the treatment of mental disorders. We suggest that there is a poor fit between the nature of mental disorders and the dominant model of health care based on the treatment of acute medical illness. An overemphasis on diagnosis has contributed to a bias toward pharmacotherapy and underuse of psychological treatments for people with mental disorders. Mental disorders are more accurately conceptualized as chronic conditions, in which the person's pattern of functioning rather than diagnosis is most important in determining what services are needed. This is particularly the case for people with serious mental illness, who may have lost the ability to carry out daily tasks, live independently, work, have interpersonal relationships, and engage in leisure pursuits. The ICF is a universal framework for describing the full range of human functioning that is highly consistent with the perspective and treatment approaches of psychiatric rehabilitation. The ICF provides a broad, transdisciplinary framework for treatment planning, defining goals, assessing progress and outcomes, and allocating resources for people with mental disorders. Extended clinical examples are provided to illustrate the potential application of the ICF in this context.\nRésumé\nCet article examine l’utilité potentielle de la CIF pour le traitement des troubles mentaux. Nous suggérons que le modèle de soins dominant fondé sur le traitement de la maladie aiguë est peu adapté à la nature des troubles mentaux. En accordant trop d’importance au diagnostic on a introduit un biais consistant à privilégier la pharmacothérapie au détriment des traitements psychologiques pour les personnes présentant des troubles mentaux. Les troubles mentaux sont plutôt à concevoir comme des états chroniques, pour lesquels le mode de fonctionnement de la personne, plus que le diagnostic, est de première importance pour déterminer le type de services dont elle a besoin. C’est notamment le cas pour des personnes présentant une maladie mentale grave, qui peuvent avoir perdu la capacité de mener des activités quotidiennes, de vivre de façon autonome, de travailler, d’entretenir des relations interpersonnelles et d’avoir des activités de loisir. La CIF est un cadre universel de description du fonctionnement humain, cohérent avec la perspective et les approches thérapeutiques de la réhabilitation psychiatrique. La CIF offre un cadre transdisciplinaire pour la programmation de traitement, la définition d’objectifs, l’évaluation des évolutions et des conséquences, et l’allocation de ressources pour des personnes ayant des troubles mentaux. Des exemples cliniques illustreront l’application possible de la CIF dans ce contexte.&quot;,&quot;issue&quot;:&quot;4&quot;,&quot;volume&quot;:&quot;3&quot;},&quot;isTemporary&quot;:false}]},{&quot;citationID&quot;:&quot;MENDELEY_CITATION_1fd8de2e-dd63-4c14-b803-01b01e2ba51a&quot;,&quot;properties&quot;:{&quot;noteIndex&quot;:0},&quot;isEdited&quot;:false,&quot;manualOverride&quot;:{&quot;isManuallyOverridden&quot;:false,&quot;citeprocText&quot;:&quot;[24]&quot;,&quot;manualOverrideText&quot;:&quot;&quot;},&quot;citationTag&quot;:&quot;MENDELEY_CITATION_v3_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&quot;,&quot;citationItems&quot;:[{&quot;id&quot;:&quot;ef49f03f-b2cd-33aa-b7d8-eff6791a8c26&quot;,&quot;itemData&quot;:{&quot;type&quot;:&quot;article-journal&quot;,&quot;id&quot;:&quot;ef49f03f-b2cd-33aa-b7d8-eff6791a8c26&quot;,&quot;title&quot;:&quot;The Level of Effectiveness of TPS and Conventional Methods Judging from Students' Geometry Learning Results Using the N-Gain Test&quot;,&quot;author&quot;:[{&quot;family&quot;:&quot;Triyono&quot;,&quot;given&quot;:&quot;Ageng&quot;,&quot;parse-names&quot;:false,&quot;dropping-particle&quot;:&quot;&quot;,&quot;non-dropping-particle&quot;:&quot;&quot;},{&quot;family&quot;:&quot;Nuary&quot;,&quot;given&quot;:&quot;Rusdi Hamdany&quot;,&quot;parse-names&quot;:false,&quot;dropping-particle&quot;:&quot;&quot;,&quot;non-dropping-particle&quot;:&quot;&quot;},{&quot;family&quot;:&quot;Permatasari&quot;,&quot;given&quot;:&quot;Nisa&quot;,&quot;parse-names&quot;:false,&quot;dropping-particle&quot;:&quot;&quot;,&quot;non-dropping-particle&quot;:&quot;&quot;},{&quot;family&quot;:&quot;Yuni&quot;,&quot;given&quot;:&quot;Yatha&quot;,&quot;parse-names&quot;:false,&quot;dropping-particle&quot;:&quot;&quot;,&quot;non-dropping-particle&quot;:&quot;&quot;},{&quot;family&quot;:&quot;Wibowo&quot;,&quot;given&quot;:&quot;Teguh&quot;,&quot;parse-names&quot;:false,&quot;dropping-particle&quot;:&quot;&quot;,&quot;non-dropping-particle&quot;:&quot;&quot;}],&quot;container-title&quot;:&quot;AlphaMath : Journal of Mathematics Education&quot;,&quot;DOI&quot;:&quot;10.30595/alphamath.v10i1.21530&quot;,&quot;ISSN&quot;:&quot;2549-9084&quot;,&quot;issued&quot;:{&quot;date-parts&quot;:[[2024,5,31]]},&quot;page&quot;:&quot;125&quot;,&quot;abstract&quot;:&quot;&lt;p&gt;The low results of student geometry learning require a trial of the think-pair-share method as a replacement for conventional methods. This research aims to: (1) compare the level of effectiveness of applying the think-pair-share method with conventional learning in improving student geometry learning outcomes, and; (2) determine whether or not there is a significant effect from using the two methods. The method used is quasi-experimental with a nonequivalent pretest-posttest control group design involving an experimental group and a control group. Each group consisted of 23 class VII students selected non-randomly from the population. Data was taken using a geometry learning outcomes test instrument. Data were analyzed using the N-Gain Score test, the results of the calculations were converted into interpretation categories for N-Gain effectiveness to be concluded. Research findings: (1) the application of both methods was \&quot;ineffective\&quot;, as shown by the calculation results of the average N-Gain score (%) for the experimental group of 38.112% and the control group of 30.636%, and; (2) based on the results of the hypothesis test, it was concluded that there was no significant influence from the application of the two methods on improving student geometry learning outcomes. The implication of this finding is that it is not recommended to apply the think-pair-share method if it is only focused on improving the geometry learning outcomes of class VII students, but it can still be applied for the purpose of developing students' collaboration skills.&lt;/p&gt;&quot;,&quot;issue&quot;:&quot;1&quot;,&quot;volume&quot;:&quot;10&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60581-FBB8-4E13-B4DC-BABBEE2D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17</Pages>
  <Words>5693</Words>
  <Characters>32452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ekafirmansyah689@icloud.com</dc:creator>
  <cp:keywords/>
  <dc:description/>
  <cp:lastModifiedBy>ekafirmansyah689@icloud.com</cp:lastModifiedBy>
  <cp:revision>8</cp:revision>
  <dcterms:created xsi:type="dcterms:W3CDTF">2026-08-04T12:38:00Z</dcterms:created>
  <dcterms:modified xsi:type="dcterms:W3CDTF">2026-08-18T14:26:00Z</dcterms:modified>
</cp:coreProperties>
</file>